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 - CATEGORIAS E COTAS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004/2024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CHAMAMENTO PÚBLICO Nº 004/2024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REDE MUNICIPAL DE PONTOS DE CULTURA DE JOÃO MONLEVADE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FOMENTO A PROJETOS CONTINUADOS DE PONTOS DE CULTURA CULTURA VIVA DO TAMANHO DO BRASIL! </w:t>
      </w:r>
    </w:p>
    <w:tbl>
      <w:tblPr>
        <w:tblStyle w:val="Table1"/>
        <w:tblW w:w="10200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395"/>
        <w:gridCol w:w="1680"/>
        <w:gridCol w:w="1710"/>
        <w:gridCol w:w="1560"/>
        <w:gridCol w:w="2010"/>
        <w:tblGridChange w:id="0">
          <w:tblGrid>
            <w:gridCol w:w="1845"/>
            <w:gridCol w:w="1395"/>
            <w:gridCol w:w="1680"/>
            <w:gridCol w:w="1710"/>
            <w:gridCol w:w="1560"/>
            <w:gridCol w:w="2010"/>
          </w:tblGrid>
        </w:tblGridChange>
      </w:tblGrid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de Projetos/Prêmios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por Projeto/Prêmio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de Ocupação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Porcentagem (%) de Ocupação por Cota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Fomento a Projetos Continuados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R$ 59.130,39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projetos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R$ 29.565,19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Negros (pretos ou pardos): 1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Indígenas: 1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Culturas populares e tradicionais: 1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PCD (Pessoas com deficiência): acréscimo de 5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Não aplicável (não se trata de uma cota fixa)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Premiação de Pontos de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R$ 100.000,00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prêmios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R$ 20.000,00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Negros (pretos ou pardos): 1 prêmio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Indígenas: 1 prêmio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Culturas populares e tradicionais: 1 prêmio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PCD (Pessoas com deficiência): acréscimo de 5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Não aplicável (não se trata de uma cota fixa)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e722pxwg8lo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4fcpxc8spgec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Resumo das Cotas: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="276" w:lineRule="auto"/>
        <w:jc w:val="both"/>
        <w:rPr>
          <w:sz w:val="22"/>
          <w:szCs w:val="22"/>
        </w:rPr>
      </w:pPr>
      <w:bookmarkStart w:colFirst="0" w:colLast="0" w:name="_heading=h.c4tcfcxhl24s" w:id="2"/>
      <w:bookmarkEnd w:id="2"/>
      <w:r w:rsidDel="00000000" w:rsidR="00000000" w:rsidRPr="00000000">
        <w:rPr>
          <w:sz w:val="22"/>
          <w:szCs w:val="22"/>
          <w:rtl w:val="0"/>
        </w:rPr>
        <w:t xml:space="preserve">Em ambas as categorias, há uma cota de 50% para negros e indígenas nos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Projetos Continuados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Nos </w:t>
      </w:r>
      <w:r w:rsidDel="00000000" w:rsidR="00000000" w:rsidRPr="00000000">
        <w:rPr>
          <w:b w:val="1"/>
          <w:rtl w:val="0"/>
        </w:rPr>
        <w:t xml:space="preserve">Prêmios de Pontos de Cultura</w:t>
      </w:r>
      <w:r w:rsidDel="00000000" w:rsidR="00000000" w:rsidRPr="00000000">
        <w:rPr>
          <w:rtl w:val="0"/>
        </w:rPr>
        <w:t xml:space="preserve">, a ocupação é de 20% para cada grupo de cota (negros, indígenas, culturas populares/tradicionais).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pessoas com deficiência (PCD)</w:t>
      </w:r>
      <w:r w:rsidDel="00000000" w:rsidR="00000000" w:rsidRPr="00000000">
        <w:rPr>
          <w:rtl w:val="0"/>
        </w:rPr>
        <w:t xml:space="preserve">, há um bônus de 5 pontos na nota final dos projetos que contemplem esse público, mas sem uma cota fixa de ocupação.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="276" w:lineRule="auto"/>
        <w:jc w:val="center"/>
        <w:rPr>
          <w:b w:val="1"/>
        </w:rPr>
      </w:pPr>
      <w:bookmarkStart w:colFirst="0" w:colLast="0" w:name="_heading=h.hkdoltgwr36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8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-342877</wp:posOffset>
          </wp:positionV>
          <wp:extent cx="1843088" cy="596114"/>
          <wp:effectExtent b="0" l="0" r="0" t="0"/>
          <wp:wrapNone/>
          <wp:docPr id="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-342877</wp:posOffset>
          </wp:positionV>
          <wp:extent cx="1352006" cy="685800"/>
          <wp:effectExtent b="0" l="0" r="0" t="0"/>
          <wp:wrapNone/>
          <wp:docPr descr="Logo Casa Cultura" id="89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-761975</wp:posOffset>
          </wp:positionH>
          <wp:positionV relativeFrom="paragraph">
            <wp:posOffset>-342877</wp:posOffset>
          </wp:positionV>
          <wp:extent cx="1086343" cy="600075"/>
          <wp:effectExtent b="0" l="0" r="0" t="0"/>
          <wp:wrapNone/>
          <wp:docPr id="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rWeeZPForXxflw0u34v9/l+1w==">CgMxLjAyDmguZTcyMnB4d2c4bG84Mg5oLjRmY3B4YzhzcGdlYzIOaC5jNHRjZmN4aGwyNHMyDmguaGtkb2x0Z3dyMzY5OAByITFzVkZTYVRha0p0U0JoM29JVFI1VHRyRThuRXU3X3pYTw==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