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b w:val="1"/>
        </w:rPr>
      </w:pPr>
      <w:r w:rsidDel="00000000" w:rsidR="00000000" w:rsidRPr="00000000">
        <w:rPr>
          <w:b w:val="1"/>
          <w:sz w:val="28"/>
          <w:szCs w:val="28"/>
          <w:rtl w:val="0"/>
        </w:rPr>
        <w:t xml:space="preserve">ANEXO X</w:t>
        <w:br w:type="textWrapping"/>
        <w:t xml:space="preserve">MINUTA DE TERMO DE COMPROMISSO CULTURAL</w:t>
      </w:r>
      <w:r w:rsidDel="00000000" w:rsidR="00000000" w:rsidRPr="00000000">
        <w:rPr>
          <w:rtl w:val="0"/>
        </w:rPr>
      </w:r>
    </w:p>
    <w:p w:rsidR="00000000" w:rsidDel="00000000" w:rsidP="00000000" w:rsidRDefault="00000000" w:rsidRPr="00000000" w14:paraId="00000002">
      <w:pPr>
        <w:spacing w:after="240" w:before="240" w:line="276" w:lineRule="auto"/>
        <w:jc w:val="both"/>
        <w:rPr>
          <w:b w:val="1"/>
        </w:rPr>
      </w:pPr>
      <w:r w:rsidDel="00000000" w:rsidR="00000000" w:rsidRPr="00000000">
        <w:rPr>
          <w:b w:val="1"/>
          <w:rtl w:val="0"/>
        </w:rPr>
        <w:t xml:space="preserve">EDITAL Nº 04/2024</w:t>
        <w:br w:type="textWrapping"/>
        <w:t xml:space="preserve">CHAMAMENTO PÚBLICO PARA A POLÍTICA NACIONAL DE CULTURA VIVA</w:t>
        <w:br w:type="textWrapping"/>
        <w:t xml:space="preserve">SELEÇÃO DE PROJETOS CULTURAIS CONTINUADOS – FUNDAÇÃO CASA DE CULTURA DE JOÃO MONLEVADE</w:t>
      </w:r>
      <w:r w:rsidDel="00000000" w:rsidR="00000000" w:rsidRPr="00000000">
        <w:rPr>
          <w:rtl w:val="0"/>
        </w:rPr>
        <w:br w:type="textWrapping"/>
      </w:r>
      <w:r w:rsidDel="00000000" w:rsidR="00000000" w:rsidRPr="00000000">
        <w:rPr>
          <w:b w:val="1"/>
          <w:rtl w:val="0"/>
        </w:rPr>
        <w:t xml:space="preserve">CULTURA VIVA DO TAMANHO DO BRASIL! </w:t>
      </w:r>
    </w:p>
    <w:p w:rsidR="00000000" w:rsidDel="00000000" w:rsidP="00000000" w:rsidRDefault="00000000" w:rsidRPr="00000000" w14:paraId="00000003">
      <w:pPr>
        <w:spacing w:after="240" w:before="240" w:line="276" w:lineRule="auto"/>
        <w:jc w:val="both"/>
        <w:rPr>
          <w:b w:val="1"/>
        </w:rPr>
      </w:pPr>
      <w:r w:rsidDel="00000000" w:rsidR="00000000" w:rsidRPr="00000000">
        <w:rPr>
          <w:rtl w:val="0"/>
        </w:rPr>
      </w:r>
    </w:p>
    <w:p w:rsidR="00000000" w:rsidDel="00000000" w:rsidP="00000000" w:rsidRDefault="00000000" w:rsidRPr="00000000" w14:paraId="00000004">
      <w:pPr>
        <w:tabs>
          <w:tab w:val="center" w:leader="none" w:pos="0"/>
        </w:tabs>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ANEXO 10 - MINUTA DE TERMO DE COMPROMISSO CULTURAL - PONTO DE CULTURA </w:t>
      </w:r>
      <w:r w:rsidDel="00000000" w:rsidR="00000000" w:rsidRPr="00000000">
        <w:rPr>
          <w:rtl w:val="0"/>
        </w:rPr>
      </w:r>
    </w:p>
    <w:p w:rsidR="00000000" w:rsidDel="00000000" w:rsidP="00000000" w:rsidRDefault="00000000" w:rsidRPr="00000000" w14:paraId="00000005">
      <w:pPr>
        <w:keepNext w:val="1"/>
        <w:spacing w:line="240" w:lineRule="auto"/>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(Rubricar todas as páginas)</w:t>
      </w:r>
      <w:r w:rsidDel="00000000" w:rsidR="00000000" w:rsidRPr="00000000">
        <w:rPr>
          <w:rtl w:val="0"/>
        </w:rPr>
      </w:r>
    </w:p>
    <w:p w:rsidR="00000000" w:rsidDel="00000000" w:rsidP="00000000" w:rsidRDefault="00000000" w:rsidRPr="00000000" w14:paraId="00000006">
      <w:pPr>
        <w:spacing w:after="120" w:before="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COMPROMISSO CULTURAL Nº 04/2024</w:t>
      </w:r>
    </w:p>
    <w:sdt>
      <w:sdtPr>
        <w:lock w:val="contentLocked"/>
        <w:tag w:val="goog_rdk_0"/>
      </w:sdtPr>
      <w:sdtContent>
        <w:tbl>
          <w:tblPr>
            <w:tblStyle w:val="Table1"/>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08">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FINALIDADE</w:t>
                </w:r>
              </w:p>
            </w:tc>
          </w:tr>
          <w:tr>
            <w:trPr>
              <w:cantSplit w:val="0"/>
              <w:trHeight w:val="1635"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0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município de</w:t>
                </w:r>
                <w:r w:rsidDel="00000000" w:rsidR="00000000" w:rsidRPr="00000000">
                  <w:rPr>
                    <w:rFonts w:ascii="Calibri" w:cs="Calibri" w:eastAsia="Calibri" w:hAnsi="Calibri"/>
                    <w:b w:val="1"/>
                    <w:sz w:val="24"/>
                    <w:szCs w:val="24"/>
                    <w:rtl w:val="0"/>
                  </w:rPr>
                  <w:t xml:space="preserve"> João Monlevade</w:t>
                </w:r>
                <w:r w:rsidDel="00000000" w:rsidR="00000000" w:rsidRPr="00000000">
                  <w:rPr>
                    <w:rFonts w:ascii="Calibri" w:cs="Calibri" w:eastAsia="Calibri" w:hAnsi="Calibri"/>
                    <w:sz w:val="24"/>
                    <w:szCs w:val="24"/>
                    <w:rtl w:val="0"/>
                  </w:rPr>
                  <w:t xml:space="preserve">, representado pela </w:t>
                </w:r>
                <w:r w:rsidDel="00000000" w:rsidR="00000000" w:rsidRPr="00000000">
                  <w:rPr>
                    <w:rFonts w:ascii="Calibri" w:cs="Calibri" w:eastAsia="Calibri" w:hAnsi="Calibri"/>
                    <w:b w:val="1"/>
                    <w:sz w:val="24"/>
                    <w:szCs w:val="24"/>
                    <w:rtl w:val="0"/>
                  </w:rPr>
                  <w:t xml:space="preserve">Fundação Casa de Cultura de João Monlevade</w:t>
                </w:r>
                <w:r w:rsidDel="00000000" w:rsidR="00000000" w:rsidRPr="00000000">
                  <w:rPr>
                    <w:rFonts w:ascii="Calibri" w:cs="Calibri" w:eastAsia="Calibri" w:hAnsi="Calibri"/>
                    <w:sz w:val="24"/>
                    <w:szCs w:val="24"/>
                    <w:rtl w:val="0"/>
                  </w:rPr>
                  <w:t xml:space="preserve">,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sdtContent>
    </w:sdt>
    <w:p w:rsidR="00000000" w:rsidDel="00000000" w:rsidP="00000000" w:rsidRDefault="00000000" w:rsidRPr="00000000" w14:paraId="0000000A">
      <w:pPr>
        <w:spacing w:after="120" w:before="120" w:line="240" w:lineRule="auto"/>
        <w:jc w:val="both"/>
        <w:rPr>
          <w:rFonts w:ascii="Calibri" w:cs="Calibri" w:eastAsia="Calibri" w:hAnsi="Calibri"/>
          <w:sz w:val="24"/>
          <w:szCs w:val="24"/>
        </w:rPr>
      </w:pPr>
      <w:r w:rsidDel="00000000" w:rsidR="00000000" w:rsidRPr="00000000">
        <w:rPr>
          <w:rtl w:val="0"/>
        </w:rPr>
      </w:r>
    </w:p>
    <w:sdt>
      <w:sdtPr>
        <w:lock w:val="contentLocked"/>
        <w:tag w:val="goog_rdk_1"/>
      </w:sdtPr>
      <w:sdtContent>
        <w:tbl>
          <w:tblPr>
            <w:tblStyle w:val="Table2"/>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0"/>
            <w:gridCol w:w="1849"/>
            <w:gridCol w:w="1507"/>
            <w:gridCol w:w="3486"/>
            <w:tblGridChange w:id="0">
              <w:tblGrid>
                <w:gridCol w:w="3130"/>
                <w:gridCol w:w="1849"/>
                <w:gridCol w:w="1507"/>
                <w:gridCol w:w="3486"/>
              </w:tblGrid>
            </w:tblGridChange>
          </w:tblGrid>
          <w:tr>
            <w:trPr>
              <w:cantSplit w:val="0"/>
              <w:trHeight w:val="525"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tcPr>
              <w:p w:rsidR="00000000" w:rsidDel="00000000" w:rsidP="00000000" w:rsidRDefault="00000000" w:rsidRPr="00000000" w14:paraId="0000000B">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IDENTIFICAÇÃO DAS PARTES</w:t>
                </w:r>
              </w:p>
            </w:tc>
          </w:tr>
          <w:tr>
            <w:trPr>
              <w:cantSplit w:val="0"/>
              <w:trHeight w:val="525" w:hRule="atLeast"/>
              <w:tblHeader w:val="0"/>
            </w:trPr>
            <w:tc>
              <w:tcPr>
                <w:gridSpan w:val="4"/>
                <w:tcBorders>
                  <w:top w:color="000000" w:space="0" w:sz="4"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0F">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2.1. ENTE PÚBLICO</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13">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Razão Social</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14">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5">
                <w:pPr>
                  <w:spacing w:after="120" w:before="120" w:line="240" w:lineRule="auto"/>
                  <w:jc w:val="both"/>
                  <w:rPr>
                    <w:rFonts w:ascii="Calibri" w:cs="Calibri" w:eastAsia="Calibri" w:hAnsi="Calibri"/>
                    <w:sz w:val="24"/>
                    <w:szCs w:val="24"/>
                  </w:rPr>
                </w:pPr>
                <w:r w:rsidDel="00000000" w:rsidR="00000000" w:rsidRPr="00000000">
                  <w:rPr>
                    <w:rtl w:val="0"/>
                  </w:rPr>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1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CNPJ</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1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1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 completo</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1D">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20">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responsável legal</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21">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24">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Cargo</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25">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2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Registro Geral (RG)</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2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2A">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2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2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Ato de nomeação</w:t>
                </w:r>
              </w:p>
            </w:tc>
            <w:tc>
              <w:tcPr>
                <w:gridSpan w:val="3"/>
                <w:tcBorders>
                  <w:top w:color="000000" w:space="0" w:sz="0" w:val="nil"/>
                  <w:left w:color="000000" w:space="0" w:sz="0" w:val="nil"/>
                  <w:bottom w:color="000000" w:space="0" w:sz="4"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2D">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25"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tcPr>
              <w:p w:rsidR="00000000" w:rsidDel="00000000" w:rsidP="00000000" w:rsidRDefault="00000000" w:rsidRPr="00000000" w14:paraId="00000030">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2.2. ENTIDADE CULTURAL</w:t>
                </w:r>
              </w:p>
            </w:tc>
          </w:tr>
          <w:tr>
            <w:trPr>
              <w:cantSplit w:val="0"/>
              <w:trHeight w:val="540" w:hRule="atLeast"/>
              <w:tblHeader w:val="0"/>
            </w:trPr>
            <w:tc>
              <w:tcPr>
                <w:tcBorders>
                  <w:top w:color="000000" w:space="0" w:sz="4"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34">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Razão Social</w:t>
                </w:r>
              </w:p>
            </w:tc>
            <w:tc>
              <w:tcPr>
                <w:gridSpan w:val="3"/>
                <w:tcBorders>
                  <w:top w:color="000000" w:space="0" w:sz="4" w:val="single"/>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35">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6">
                <w:pPr>
                  <w:spacing w:after="120" w:before="120" w:line="240" w:lineRule="auto"/>
                  <w:jc w:val="both"/>
                  <w:rPr>
                    <w:rFonts w:ascii="Calibri" w:cs="Calibri" w:eastAsia="Calibri" w:hAnsi="Calibri"/>
                    <w:sz w:val="24"/>
                    <w:szCs w:val="24"/>
                  </w:rPr>
                </w:pPr>
                <w:r w:rsidDel="00000000" w:rsidR="00000000" w:rsidRPr="00000000">
                  <w:rPr>
                    <w:rtl w:val="0"/>
                  </w:rPr>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3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CNPJ</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3A">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3D">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 completo</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3E">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41">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responsável legal</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2">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45">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Cargo</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6">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4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Registro Geral (RG)</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A">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4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4D">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 completo do responsável legal</w:t>
                </w:r>
              </w:p>
            </w:tc>
            <w:tc>
              <w:tcPr>
                <w:gridSpan w:val="3"/>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E">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sdtContent>
    </w:sdt>
    <w:p w:rsidR="00000000" w:rsidDel="00000000" w:rsidP="00000000" w:rsidRDefault="00000000" w:rsidRPr="00000000" w14:paraId="00000051">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r>
    </w:p>
    <w:sdt>
      <w:sdtPr>
        <w:lock w:val="contentLocked"/>
        <w:tag w:val="goog_rdk_2"/>
      </w:sdtPr>
      <w:sdtContent>
        <w:tbl>
          <w:tblPr>
            <w:tblStyle w:val="Table3"/>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52">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OBJETO</w:t>
                </w:r>
              </w:p>
            </w:tc>
          </w:tr>
          <w:tr>
            <w:trPr>
              <w:cantSplit w:val="0"/>
              <w:trHeight w:val="1080"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53">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3.1.</w:t>
                </w:r>
                <w:r w:rsidDel="00000000" w:rsidR="00000000" w:rsidRPr="00000000">
                  <w:rPr>
                    <w:rFonts w:ascii="Calibri" w:cs="Calibri" w:eastAsia="Calibri" w:hAnsi="Calibri"/>
                    <w:sz w:val="24"/>
                    <w:szCs w:val="24"/>
                    <w:rtl w:val="0"/>
                  </w:rPr>
                  <w:t xml:space="preserve"> O presente Termo de Compromisso Cultural-TCC tem como objeto a execução de projeto selecionado no Edital 04/2024 - PNAB CULTURA VIVA, </w:t>
                </w:r>
                <w:r w:rsidDel="00000000" w:rsidR="00000000" w:rsidRPr="00000000">
                  <w:rPr>
                    <w:rFonts w:ascii="Calibri" w:cs="Calibri" w:eastAsia="Calibri" w:hAnsi="Calibri"/>
                    <w:sz w:val="24"/>
                    <w:szCs w:val="24"/>
                    <w:highlight w:val="white"/>
                    <w:rtl w:val="0"/>
                  </w:rPr>
                  <w:t xml:space="preserve">que visa a promoção do acesso da população aos bens e aos serviços culturais nos territórios e comunidades onde atuam, nos termos da Política Nacional de Cultura Viva - PNCV, conforme Plano de Trabalho anexo.</w:t>
                </w:r>
                <w:r w:rsidDel="00000000" w:rsidR="00000000" w:rsidRPr="00000000">
                  <w:rPr>
                    <w:rtl w:val="0"/>
                  </w:rPr>
                </w:r>
              </w:p>
            </w:tc>
          </w:tr>
        </w:tbl>
      </w:sdtContent>
    </w:sdt>
    <w:p w:rsidR="00000000" w:rsidDel="00000000" w:rsidP="00000000" w:rsidRDefault="00000000" w:rsidRPr="00000000" w14:paraId="00000054">
      <w:pPr>
        <w:spacing w:after="160" w:line="259" w:lineRule="auto"/>
        <w:jc w:val="both"/>
        <w:rPr>
          <w:rFonts w:ascii="Calibri" w:cs="Calibri" w:eastAsia="Calibri" w:hAnsi="Calibri"/>
        </w:rPr>
      </w:pPr>
      <w:r w:rsidDel="00000000" w:rsidR="00000000" w:rsidRPr="00000000">
        <w:rPr>
          <w:rFonts w:ascii="Calibri" w:cs="Calibri" w:eastAsia="Calibri" w:hAnsi="Calibri"/>
          <w:sz w:val="24"/>
          <w:szCs w:val="24"/>
          <w:rtl w:val="0"/>
        </w:rPr>
        <w:t xml:space="preserve">                                                  </w:t>
        <w:tab/>
        <w:t xml:space="preserve">                                                 </w:t>
        <w:tab/>
      </w:r>
      <w:r w:rsidDel="00000000" w:rsidR="00000000" w:rsidRPr="00000000">
        <w:rPr>
          <w:rtl w:val="0"/>
        </w:rPr>
      </w:r>
    </w:p>
    <w:sdt>
      <w:sdtPr>
        <w:lock w:val="contentLocked"/>
        <w:tag w:val="goog_rdk_3"/>
      </w:sdtPr>
      <w:sdtContent>
        <w:tbl>
          <w:tblPr>
            <w:tblStyle w:val="Table4"/>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55">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OBRIGAÇÕES DAS PARTES</w:t>
                </w:r>
              </w:p>
            </w:tc>
          </w:tr>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56">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4.1.</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Do [NOME DO ESTADO/MUNICÍPIO]</w:t>
                </w:r>
              </w:p>
            </w:tc>
          </w:tr>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5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Incumbe à </w:t>
                </w:r>
                <w:r w:rsidDel="00000000" w:rsidR="00000000" w:rsidRPr="00000000">
                  <w:rPr>
                    <w:rFonts w:ascii="Calibri" w:cs="Calibri" w:eastAsia="Calibri" w:hAnsi="Calibri"/>
                    <w:b w:val="1"/>
                    <w:sz w:val="24"/>
                    <w:szCs w:val="24"/>
                    <w:rtl w:val="0"/>
                  </w:rPr>
                  <w:t xml:space="preserve">Fundação Casa de Cultura de João Monlevade</w:t>
                </w:r>
                <w:r w:rsidDel="00000000" w:rsidR="00000000" w:rsidRPr="00000000">
                  <w:rPr>
                    <w:rFonts w:ascii="Calibri" w:cs="Calibri" w:eastAsia="Calibri" w:hAnsi="Calibri"/>
                    <w:sz w:val="24"/>
                    <w:szCs w:val="24"/>
                    <w:rtl w:val="0"/>
                  </w:rPr>
                  <w:t xml:space="preserve"> observar as obrigações descritas na Instrução legislação de regência, e as seguintes responsabilidades:</w:t>
                </w:r>
              </w:p>
              <w:p w:rsidR="00000000" w:rsidDel="00000000" w:rsidP="00000000" w:rsidRDefault="00000000" w:rsidRPr="00000000" w14:paraId="0000005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coordenar a gestão da PNCV, no âmbito de sua esfera de atuação;</w:t>
                </w:r>
              </w:p>
              <w:p w:rsidR="00000000" w:rsidDel="00000000" w:rsidP="00000000" w:rsidRDefault="00000000" w:rsidRPr="00000000" w14:paraId="0000005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atuar em parceria federativa junto ao governo federal, governos estaduais, do Distrito Federal e municipais, e outras instituições, para efetivação dos objetivos da PNCV previstos em lei;</w:t>
                </w:r>
              </w:p>
              <w:p w:rsidR="00000000" w:rsidDel="00000000" w:rsidP="00000000" w:rsidRDefault="00000000" w:rsidRPr="00000000" w14:paraId="0000005A">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realizar planejamento de desenvolvimento da PNCV, observando o Plano Nacional de Cultura e planos de cultura locais;</w:t>
                </w:r>
              </w:p>
              <w:p w:rsidR="00000000" w:rsidDel="00000000" w:rsidP="00000000" w:rsidRDefault="00000000" w:rsidRPr="00000000" w14:paraId="0000005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garantir recursos humanos, orçamentários, financeiros, logísticos e tecnológicos para implementação da PNCV e efetividade de seus resultados;</w:t>
                </w:r>
              </w:p>
              <w:p w:rsidR="00000000" w:rsidDel="00000000" w:rsidP="00000000" w:rsidRDefault="00000000" w:rsidRPr="00000000" w14:paraId="0000005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desenvolver uma gestão pública compartilhada e participativa, por meio da organização e institucionalização das instâncias, fóruns e espaços de diálogos institucionais entre os partícipes da PNCV, em sua área de abrangência territorial;</w:t>
                </w:r>
              </w:p>
              <w:p w:rsidR="00000000" w:rsidDel="00000000" w:rsidP="00000000" w:rsidRDefault="00000000" w:rsidRPr="00000000" w14:paraId="0000005D">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 desenvolver as ações estruturantes da PNCV por meio de políticas públicas integradas visando a promoção em uma cultura de direitos humanos e de valorização da cidadania e da diversidade artística e cultural;</w:t>
                </w:r>
              </w:p>
              <w:p w:rsidR="00000000" w:rsidDel="00000000" w:rsidP="00000000" w:rsidRDefault="00000000" w:rsidRPr="00000000" w14:paraId="0000005E">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 disponibilizar e manter em funcionamento o Cadastro Nacional dos Pontos e Pontões de Cultura, no âmbito de sua esfera de atuação;</w:t>
                </w:r>
              </w:p>
              <w:p w:rsidR="00000000" w:rsidDel="00000000" w:rsidP="00000000" w:rsidRDefault="00000000" w:rsidRPr="00000000" w14:paraId="0000005F">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 fomentar ações para qualificação e formação de gestores, dirigentes de entidades culturais e outros agentes envolvidos no âmbito da PNCV;</w:t>
                </w:r>
              </w:p>
              <w:p w:rsidR="00000000" w:rsidDel="00000000" w:rsidP="00000000" w:rsidRDefault="00000000" w:rsidRPr="00000000" w14:paraId="00000060">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 dar ciência da celebração de parcerias federativas, no que couber, aos conselhos de cultura, assembleias legislativas e câmaras municipais de vereadores para efeitos de acompanhamento e fiscalização;</w:t>
                </w:r>
              </w:p>
              <w:p w:rsidR="00000000" w:rsidDel="00000000" w:rsidP="00000000" w:rsidRDefault="00000000" w:rsidRPr="00000000" w14:paraId="00000061">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 promover ações de publicidade da PNCV que proporcionem controle social, transparência pública e visibilidade das ações junto à sociedade;</w:t>
                </w:r>
              </w:p>
              <w:p w:rsidR="00000000" w:rsidDel="00000000" w:rsidP="00000000" w:rsidRDefault="00000000" w:rsidRPr="00000000" w14:paraId="00000062">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 contribuir para o fortalecimento da atuação em redes territoriais, identitárias e temáticas no âmbito da PNCV;</w:t>
                </w:r>
              </w:p>
              <w:p w:rsidR="00000000" w:rsidDel="00000000" w:rsidP="00000000" w:rsidRDefault="00000000" w:rsidRPr="00000000" w14:paraId="00000063">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XII - realizar os atos e os procedimentos relativos à formalização, execução, acompanhamento e análise da prestação de contas do presente TCC;</w:t>
                </w:r>
              </w:p>
              <w:p w:rsidR="00000000" w:rsidDel="00000000" w:rsidP="00000000" w:rsidRDefault="00000000" w:rsidRPr="00000000" w14:paraId="00000064">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XIII - realizar os procedimentos relativos à Tomada de Contas Especial, quando for o caso;</w:t>
                </w:r>
              </w:p>
              <w:p w:rsidR="00000000" w:rsidDel="00000000" w:rsidP="00000000" w:rsidRDefault="00000000" w:rsidRPr="00000000" w14:paraId="00000065">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XIV - cumprir com os procedimentos de transparência e publicidade atribuídos ao poder público conforme o disposto na Seção III da IN MinC nº 08 de 11 de maio de 2016;</w:t>
                </w:r>
              </w:p>
              <w:p w:rsidR="00000000" w:rsidDel="00000000" w:rsidP="00000000" w:rsidRDefault="00000000" w:rsidRPr="00000000" w14:paraId="00000066">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XV - repassar os recursos financeiros ao PONTO DE CULTURA, de acordo com a programação orçamentária e financeira do ente público, obedecendo ao cronograma financeiro constante deste instrumento e do plano de trabalho;</w:t>
                </w:r>
              </w:p>
              <w:p w:rsidR="00000000" w:rsidDel="00000000" w:rsidP="00000000" w:rsidRDefault="00000000" w:rsidRPr="00000000" w14:paraId="0000006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XVI - prorrogar “de ofício” o prazo de vigência do TCC antes do seu término, quando der causa ao atraso na liberação dos recursos, limitada à prorrogação ao exato período do atraso verificado;</w:t>
                </w:r>
              </w:p>
              <w:p w:rsidR="00000000" w:rsidDel="00000000" w:rsidP="00000000" w:rsidRDefault="00000000" w:rsidRPr="00000000" w14:paraId="0000006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XVII - aplicar as penalidades previstas e proceder às ações administrativas necessárias à exigência da restituição dos recursos transferidos;</w:t>
                </w:r>
              </w:p>
              <w:p w:rsidR="00000000" w:rsidDel="00000000" w:rsidP="00000000" w:rsidRDefault="00000000" w:rsidRPr="00000000" w14:paraId="0000006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XVIII -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rsidR="00000000" w:rsidDel="00000000" w:rsidP="00000000" w:rsidRDefault="00000000" w:rsidRPr="00000000" w14:paraId="0000006A">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XIX - analisar a prestação de contas dos recursos aplicados na consecução do objeto deste TCC, na forma e prazo fixados no Decreto nº 11.453/2023 e no art. 47 da IN MinC nº 08/2016;</w:t>
                </w:r>
              </w:p>
              <w:p w:rsidR="00000000" w:rsidDel="00000000" w:rsidP="00000000" w:rsidRDefault="00000000" w:rsidRPr="00000000" w14:paraId="0000006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XX - nos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rsidR="00000000" w:rsidDel="00000000" w:rsidP="00000000" w:rsidRDefault="00000000" w:rsidRPr="00000000" w14:paraId="0000006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XXI - exercer, se conveniente e oportuno, a prerrogativa de assumir ou de transferir a responsabilidade pela execução do objeto, no caso de paralisação ou da ocorrência de fato relevante, de modo a evitar sua descontinuidade.</w:t>
                </w:r>
              </w:p>
              <w:p w:rsidR="00000000" w:rsidDel="00000000" w:rsidP="00000000" w:rsidRDefault="00000000" w:rsidRPr="00000000" w14:paraId="0000006D">
                <w:pPr>
                  <w:spacing w:after="120" w:before="120" w:line="240" w:lineRule="auto"/>
                  <w:jc w:val="both"/>
                  <w:rPr>
                    <w:rFonts w:ascii="Calibri" w:cs="Calibri" w:eastAsia="Calibri" w:hAnsi="Calibri"/>
                    <w:sz w:val="24"/>
                    <w:szCs w:val="24"/>
                  </w:rPr>
                </w:pPr>
                <w:r w:rsidDel="00000000" w:rsidR="00000000" w:rsidRPr="00000000">
                  <w:rPr>
                    <w:rtl w:val="0"/>
                  </w:rPr>
                </w:r>
              </w:p>
            </w:tc>
          </w:tr>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6E">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4.2.</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Da Entidade Cultural</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6F">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Incumbe à Entidade Cultural observar as obrigações descritas na legislação de regência e, ainda, as seguintes responsabilidades:</w:t>
                </w:r>
              </w:p>
              <w:p w:rsidR="00000000" w:rsidDel="00000000" w:rsidP="00000000" w:rsidRDefault="00000000" w:rsidRPr="00000000" w14:paraId="00000070">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executar o projeto conforme Plano de Trabalho aprovado e produzir provas documentais sobre o andamento da execução do projeto, inclusive das alterações no Plano de Trabalho;</w:t>
                </w:r>
              </w:p>
              <w:p w:rsidR="00000000" w:rsidDel="00000000" w:rsidP="00000000" w:rsidRDefault="00000000" w:rsidRPr="00000000" w14:paraId="00000071">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cumprir com os procedimentos de transparência e publicidade atribuídos à entidade cultural conforme o disposto no Capítulo IV,  Seção III da IN MinC nº 08 de 11 de maio de 2016;</w:t>
                </w:r>
              </w:p>
              <w:p w:rsidR="00000000" w:rsidDel="00000000" w:rsidP="00000000" w:rsidRDefault="00000000" w:rsidRPr="00000000" w14:paraId="00000072">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rsidR="00000000" w:rsidDel="00000000" w:rsidP="00000000" w:rsidRDefault="00000000" w:rsidRPr="00000000" w14:paraId="00000073">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desenvolver uma gestão compartilhada e participativa, por meio de instâncias, fóruns e espaços de diálogos junto aos beneficiários em sua área de abrangência;</w:t>
                </w:r>
              </w:p>
              <w:p w:rsidR="00000000" w:rsidDel="00000000" w:rsidP="00000000" w:rsidRDefault="00000000" w:rsidRPr="00000000" w14:paraId="00000074">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envidar esforços visando atuar nos processos participativos instituídos pelo Sistema Nacional de Cultura-SNC (especialmente as Conferências de Cultura) e pela PNCV (especialmente as TEIAs) em âmbito local, regional e nacional;</w:t>
                </w:r>
              </w:p>
              <w:p w:rsidR="00000000" w:rsidDel="00000000" w:rsidP="00000000" w:rsidRDefault="00000000" w:rsidRPr="00000000" w14:paraId="00000075">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 estimular a participação ativa dos beneficiários da PNCV nos processos participativos instituídos no SNC e na PNCV em âmbito local, regional e nacional;</w:t>
                </w:r>
              </w:p>
              <w:p w:rsidR="00000000" w:rsidDel="00000000" w:rsidP="00000000" w:rsidRDefault="00000000" w:rsidRPr="00000000" w14:paraId="00000076">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 contribuir com a organização e funcionamento da Rede Cultura Viva e de suas instâncias, mecanismos e processos de gestão compartilhada, participação e controle social;</w:t>
                </w:r>
              </w:p>
              <w:p w:rsidR="00000000" w:rsidDel="00000000" w:rsidP="00000000" w:rsidRDefault="00000000" w:rsidRPr="00000000" w14:paraId="0000007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 manter seus dados cadastrais atualizados no Cadastro Nacional de Pontos e Pontões de Cultura, atendendo à chamada anual de atualização de dados;</w:t>
                </w:r>
              </w:p>
              <w:p w:rsidR="00000000" w:rsidDel="00000000" w:rsidP="00000000" w:rsidRDefault="00000000" w:rsidRPr="00000000" w14:paraId="0000007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rsidR="00000000" w:rsidDel="00000000" w:rsidP="00000000" w:rsidRDefault="00000000" w:rsidRPr="00000000" w14:paraId="0000007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 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rsidR="00000000" w:rsidDel="00000000" w:rsidP="00000000" w:rsidRDefault="00000000" w:rsidRPr="00000000" w14:paraId="0000007A">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 a responsabilidade exclusiva pelo gerenciamento administrativo e financeiro dos recursos recebidos; </w:t>
                </w:r>
              </w:p>
              <w:p w:rsidR="00000000" w:rsidDel="00000000" w:rsidP="00000000" w:rsidRDefault="00000000" w:rsidRPr="00000000" w14:paraId="0000007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rsidR="00000000" w:rsidDel="00000000" w:rsidP="00000000" w:rsidRDefault="00000000" w:rsidRPr="00000000" w14:paraId="0000007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XIII - prestar contas dos recursos recebidos, conforme acordado neste Termo e  na forma dos atos normativos que se relacionam com o tema;</w:t>
                </w:r>
              </w:p>
              <w:p w:rsidR="00000000" w:rsidDel="00000000" w:rsidP="00000000" w:rsidRDefault="00000000" w:rsidRPr="00000000" w14:paraId="0000007D">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rsidR="00000000" w:rsidDel="00000000" w:rsidP="00000000" w:rsidRDefault="00000000" w:rsidRPr="00000000" w14:paraId="0000007E">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XV -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sdtContent>
    </w:sdt>
    <w:p w:rsidR="00000000" w:rsidDel="00000000" w:rsidP="00000000" w:rsidRDefault="00000000" w:rsidRPr="00000000" w14:paraId="0000007F">
      <w:pPr>
        <w:spacing w:after="160" w:line="259" w:lineRule="auto"/>
        <w:ind w:hanging="2"/>
        <w:jc w:val="both"/>
        <w:rPr>
          <w:rFonts w:ascii="Calibri" w:cs="Calibri" w:eastAsia="Calibri" w:hAnsi="Calibri"/>
        </w:rPr>
      </w:pPr>
      <w:r w:rsidDel="00000000" w:rsidR="00000000" w:rsidRPr="00000000">
        <w:rPr>
          <w:rtl w:val="0"/>
        </w:rPr>
      </w:r>
    </w:p>
    <w:sdt>
      <w:sdtPr>
        <w:lock w:val="contentLocked"/>
        <w:tag w:val="goog_rdk_4"/>
      </w:sdtPr>
      <w:sdtContent>
        <w:tbl>
          <w:tblPr>
            <w:tblStyle w:val="Table5"/>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80">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DOS VALORES</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81">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execução das atividades previstas no Plano de Trabalho deste TCC, serão disponibilizados pelo Ente Público recursos no valor total de R$XXXX, em parcela única, de acordo com o Cronograma de Desembolso constante do Plano de Trabalho, correspondente à Nota de Empenho XXXX, de XX/XX/2024.</w:t>
                </w:r>
              </w:p>
            </w:tc>
          </w:tr>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82">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5.1 Da movimentação dos recursos financeiros</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83">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recursos referentes ao presente Termo de Compromisso Cultural, a serem desembolsados pelo Ente Público, serão depositados e geridos em conta específica de instituição financeira indicada pela entidade cultural, na Agência XXXX – Banco XXXX, na cidade XXXX, UF XX, em conformidade com os prazos estabelecidos no Cronograma Financeiro constante do Plano de Trabalho.</w:t>
                </w:r>
              </w:p>
              <w:p w:rsidR="00000000" w:rsidDel="00000000" w:rsidP="00000000" w:rsidRDefault="00000000" w:rsidRPr="00000000" w14:paraId="00000084">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5.1.1 Os recursos depositados nesta conta bancária específica, enquanto não empregados na sua finalidade, serão obrigatoriamente aplicados:</w:t>
                </w:r>
              </w:p>
              <w:p w:rsidR="00000000" w:rsidDel="00000000" w:rsidP="00000000" w:rsidRDefault="00000000" w:rsidRPr="00000000" w14:paraId="00000085">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em caderneta de poupança, ou</w:t>
                </w:r>
              </w:p>
              <w:p w:rsidR="00000000" w:rsidDel="00000000" w:rsidP="00000000" w:rsidRDefault="00000000" w:rsidRPr="00000000" w14:paraId="00000086">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em fundo de aplicação financeira de curto prazo ou operação de mercado aberto lastreada em título da dívida pública.</w:t>
                </w:r>
              </w:p>
              <w:p w:rsidR="00000000" w:rsidDel="00000000" w:rsidP="00000000" w:rsidRDefault="00000000" w:rsidRPr="00000000" w14:paraId="0000008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5.1.2 Os recursos deste Termo de Compromisso Cultural serão utilizados exclusivamente para o pagamento das despesas previstas no objeto do TCC, vedada a sua aplicação em finalidade diversa, ainda que decorrentes de necessidade emergencial do PONTO DE CULTURA.</w:t>
                </w:r>
              </w:p>
              <w:p w:rsidR="00000000" w:rsidDel="00000000" w:rsidP="00000000" w:rsidRDefault="00000000" w:rsidRPr="00000000" w14:paraId="0000008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rsidR="00000000" w:rsidDel="00000000" w:rsidP="00000000" w:rsidRDefault="00000000" w:rsidRPr="00000000" w14:paraId="0000008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5.1.4 O uso de rendimentos para as finalidades descritas no item 5.1.3 poderá ser realizado sem autorização prévia da administração pública, desde que seja descrito no Relatório de Execução do Objeto, com motivação.</w:t>
                </w:r>
              </w:p>
              <w:p w:rsidR="00000000" w:rsidDel="00000000" w:rsidP="00000000" w:rsidRDefault="00000000" w:rsidRPr="00000000" w14:paraId="0000008A">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5.1.5 O remanejamento de recurso no plano de trabalho poderá ocorrer desde que:</w:t>
                </w:r>
              </w:p>
              <w:p w:rsidR="00000000" w:rsidDel="00000000" w:rsidP="00000000" w:rsidRDefault="00000000" w:rsidRPr="00000000" w14:paraId="0000008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seja realizado durante a vigência do TCC;</w:t>
                </w:r>
              </w:p>
              <w:p w:rsidR="00000000" w:rsidDel="00000000" w:rsidP="00000000" w:rsidRDefault="00000000" w:rsidRPr="00000000" w14:paraId="0000008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tenha como finalidade o cumprimento do objeto pactuado;</w:t>
                </w:r>
              </w:p>
              <w:p w:rsidR="00000000" w:rsidDel="00000000" w:rsidP="00000000" w:rsidRDefault="00000000" w:rsidRPr="00000000" w14:paraId="0000008D">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não altere o valor global do orçamento aprovado no TCC.</w:t>
                </w:r>
              </w:p>
              <w:p w:rsidR="00000000" w:rsidDel="00000000" w:rsidP="00000000" w:rsidRDefault="00000000" w:rsidRPr="00000000" w14:paraId="0000008E">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sdtContent>
    </w:sdt>
    <w:p w:rsidR="00000000" w:rsidDel="00000000" w:rsidP="00000000" w:rsidRDefault="00000000" w:rsidRPr="00000000" w14:paraId="0000008F">
      <w:pPr>
        <w:spacing w:after="160" w:line="259" w:lineRule="auto"/>
        <w:ind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after="160" w:line="259" w:lineRule="auto"/>
        <w:ind w:hanging="2"/>
        <w:jc w:val="both"/>
        <w:rPr>
          <w:rFonts w:ascii="Calibri" w:cs="Calibri" w:eastAsia="Calibri" w:hAnsi="Calibri"/>
        </w:rPr>
      </w:pPr>
      <w:r w:rsidDel="00000000" w:rsidR="00000000" w:rsidRPr="00000000">
        <w:rPr>
          <w:rtl w:val="0"/>
        </w:rPr>
      </w:r>
    </w:p>
    <w:sdt>
      <w:sdtPr>
        <w:lock w:val="contentLocked"/>
        <w:tag w:val="goog_rdk_5"/>
      </w:sdtPr>
      <w:sdtContent>
        <w:tbl>
          <w:tblPr>
            <w:tblStyle w:val="Table6"/>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91">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DO ACOMPANHAMENTO E AVALIAÇÃO</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92">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A </w:t>
                </w:r>
                <w:r w:rsidDel="00000000" w:rsidR="00000000" w:rsidRPr="00000000">
                  <w:rPr>
                    <w:rFonts w:ascii="Calibri" w:cs="Calibri" w:eastAsia="Calibri" w:hAnsi="Calibri"/>
                    <w:b w:val="1"/>
                    <w:sz w:val="24"/>
                    <w:szCs w:val="24"/>
                    <w:rtl w:val="0"/>
                  </w:rPr>
                  <w:t xml:space="preserve">FUNDAÇÃO CASA DE CULTURA DE JOÃO MONLEVADE - MG</w:t>
                </w:r>
                <w:r w:rsidDel="00000000" w:rsidR="00000000" w:rsidRPr="00000000">
                  <w:rPr>
                    <w:rFonts w:ascii="Calibri" w:cs="Calibri" w:eastAsia="Calibri" w:hAnsi="Calibri"/>
                    <w:sz w:val="24"/>
                    <w:szCs w:val="24"/>
                    <w:rtl w:val="0"/>
                  </w:rPr>
                  <w:t xml:space="preserve"> realizará o acompanhamento e a avaliação da execução</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deste TCC, periodicamente, durante a vigência da parceria, com vistas a promover o levantamento de dados para subsidiar a avaliação da prestação de contas podendo, para tanto:</w:t>
                </w:r>
              </w:p>
              <w:p w:rsidR="00000000" w:rsidDel="00000000" w:rsidP="00000000" w:rsidRDefault="00000000" w:rsidRPr="00000000" w14:paraId="00000093">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exigir informações técnicas (incluindo relatório fotográfico), prestações de contas parciais e/ou final a qualquer momento;</w:t>
                </w:r>
              </w:p>
              <w:p w:rsidR="00000000" w:rsidDel="00000000" w:rsidP="00000000" w:rsidRDefault="00000000" w:rsidRPr="00000000" w14:paraId="00000094">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exigir o registro, nos sistemas institucionais indicados pelo Ministério da Cultura, das atividades provenientes da execução do TCC;</w:t>
                </w:r>
              </w:p>
              <w:p w:rsidR="00000000" w:rsidDel="00000000" w:rsidP="00000000" w:rsidRDefault="00000000" w:rsidRPr="00000000" w14:paraId="00000095">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usar os diversos canais eletrônicos de comunicação e divulgação absorvendo informações sobre a execução do TCC e adotando providências necessárias, quando for o caso;</w:t>
                </w:r>
              </w:p>
              <w:p w:rsidR="00000000" w:rsidDel="00000000" w:rsidP="00000000" w:rsidRDefault="00000000" w:rsidRPr="00000000" w14:paraId="00000096">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fazer vistoria in loco (vistoria no local);</w:t>
                </w:r>
              </w:p>
              <w:p w:rsidR="00000000" w:rsidDel="00000000" w:rsidP="00000000" w:rsidRDefault="00000000" w:rsidRPr="00000000" w14:paraId="0000009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 utilizar apoio técnico de terceiros, delegar competência ou firmar parcerias com órgãos ou entidades.</w:t>
                </w:r>
              </w:p>
              <w:p w:rsidR="00000000" w:rsidDel="00000000" w:rsidP="00000000" w:rsidRDefault="00000000" w:rsidRPr="00000000" w14:paraId="0000009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A Fundação Casa de Cultura de João Monlevade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rsidR="00000000" w:rsidDel="00000000" w:rsidP="00000000" w:rsidRDefault="00000000" w:rsidRPr="00000000" w14:paraId="0000009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 Os TCCs estarão também sujeitos aos mecanismos de controle social previstos na legislação e ao acompanhamento por comissões e conselhos de políticas públicas da área cultural.</w:t>
                </w:r>
              </w:p>
            </w:tc>
          </w:tr>
        </w:tbl>
      </w:sdtContent>
    </w:sdt>
    <w:p w:rsidR="00000000" w:rsidDel="00000000" w:rsidP="00000000" w:rsidRDefault="00000000" w:rsidRPr="00000000" w14:paraId="0000009A">
      <w:pPr>
        <w:spacing w:after="160" w:line="259" w:lineRule="auto"/>
        <w:ind w:hanging="2"/>
        <w:jc w:val="both"/>
        <w:rPr>
          <w:rFonts w:ascii="Calibri" w:cs="Calibri" w:eastAsia="Calibri" w:hAnsi="Calibri"/>
        </w:rPr>
      </w:pPr>
      <w:r w:rsidDel="00000000" w:rsidR="00000000" w:rsidRPr="00000000">
        <w:rPr>
          <w:rtl w:val="0"/>
        </w:rPr>
      </w:r>
    </w:p>
    <w:sdt>
      <w:sdtPr>
        <w:lock w:val="contentLocked"/>
        <w:tag w:val="goog_rdk_6"/>
      </w:sdtPr>
      <w:sdtContent>
        <w:tbl>
          <w:tblPr>
            <w:tblStyle w:val="Table7"/>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9B">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DA PRESTAÇÃO DE CONTAS</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9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A prestação de contas será apresentada por meio do </w:t>
                </w:r>
                <w:r w:rsidDel="00000000" w:rsidR="00000000" w:rsidRPr="00000000">
                  <w:rPr>
                    <w:rFonts w:ascii="Calibri" w:cs="Calibri" w:eastAsia="Calibri" w:hAnsi="Calibri"/>
                    <w:sz w:val="24"/>
                    <w:szCs w:val="24"/>
                    <w:u w:val="single"/>
                    <w:rtl w:val="0"/>
                  </w:rPr>
                  <w:t xml:space="preserve">Relatório de Execução do Objeto</w:t>
                </w:r>
                <w:r w:rsidDel="00000000" w:rsidR="00000000" w:rsidRPr="00000000">
                  <w:rPr>
                    <w:rFonts w:ascii="Calibri" w:cs="Calibri" w:eastAsia="Calibri" w:hAnsi="Calibri"/>
                    <w:sz w:val="24"/>
                    <w:szCs w:val="24"/>
                    <w:rtl w:val="0"/>
                  </w:rPr>
                  <w:t xml:space="preserve">, no prazo de noventa dias após o fim da vigência do TCC, contendo:</w:t>
                </w:r>
              </w:p>
              <w:p w:rsidR="00000000" w:rsidDel="00000000" w:rsidP="00000000" w:rsidRDefault="00000000" w:rsidRPr="00000000" w14:paraId="0000009D">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rsidR="00000000" w:rsidDel="00000000" w:rsidP="00000000" w:rsidRDefault="00000000" w:rsidRPr="00000000" w14:paraId="0000009E">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comparativo de metas propostas com os resultados alcançados, a partir das informações constantes do plano de trabalho, podendo a comprovação sobre os produtos e serviços relativos às metas se dar pela apresentação de fotos, listas de presença, vídeos, entre outros;</w:t>
                </w:r>
              </w:p>
              <w:p w:rsidR="00000000" w:rsidDel="00000000" w:rsidP="00000000" w:rsidRDefault="00000000" w:rsidRPr="00000000" w14:paraId="0000009F">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material que comprove a execução de cada item de despesa e a consecução de cada uma das metas (fotos, listas de presença, vídeos, entre outros) descrito no Plano de Trabalho.</w:t>
                </w:r>
              </w:p>
              <w:p w:rsidR="00000000" w:rsidDel="00000000" w:rsidP="00000000" w:rsidRDefault="00000000" w:rsidRPr="00000000" w14:paraId="000000A0">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Os documentos originais de comprovação do cumprimento do objeto deverão ser guardados pelo PONTO DE CULTURA pelo prazo de cinco anos após a entrega da prestação de contas.</w:t>
                </w:r>
              </w:p>
              <w:p w:rsidR="00000000" w:rsidDel="00000000" w:rsidP="00000000" w:rsidRDefault="00000000" w:rsidRPr="00000000" w14:paraId="000000A1">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O prazo de apresentação do Relatório de Execução do Objeto poderá ser prorrogado por até trinta dias, mediante solicitação fundamentada do PONTO DE CULTURA.</w:t>
                </w:r>
              </w:p>
              <w:p w:rsidR="00000000" w:rsidDel="00000000" w:rsidP="00000000" w:rsidRDefault="00000000" w:rsidRPr="00000000" w14:paraId="000000A2">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Caso o Ente Público verifique que houve inadequação na execução do objeto, o PONTO DE CULTURA será notificado para apresentar Relatório de Execução Financeiro, no prazo de trinta dias, contendo:</w:t>
                </w:r>
              </w:p>
              <w:p w:rsidR="00000000" w:rsidDel="00000000" w:rsidP="00000000" w:rsidRDefault="00000000" w:rsidRPr="00000000" w14:paraId="000000A3">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relação de pagamentos, com indicação dos beneficiários desses pagamentos e identificação do item de despesa e meta relacionados a cada pagamento;</w:t>
                </w:r>
              </w:p>
              <w:p w:rsidR="00000000" w:rsidDel="00000000" w:rsidP="00000000" w:rsidRDefault="00000000" w:rsidRPr="00000000" w14:paraId="000000A4">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extrato bancário da conta do TCC, incluindo toda a movimentação desde a abertura até a última movimentação, e conciliação bancária; e</w:t>
                </w:r>
              </w:p>
              <w:p w:rsidR="00000000" w:rsidDel="00000000" w:rsidP="00000000" w:rsidRDefault="00000000" w:rsidRPr="00000000" w14:paraId="000000A5">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comprovante de recolhimento do saldo remanescente de recursos, quando houver.</w:t>
                </w:r>
              </w:p>
              <w:p w:rsidR="00000000" w:rsidDel="00000000" w:rsidP="00000000" w:rsidRDefault="00000000" w:rsidRPr="00000000" w14:paraId="000000A6">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O Ente Público considerará que houve inadequação na execução do objeto quando configurada uma das seguintes hipóteses:</w:t>
                </w:r>
              </w:p>
              <w:p w:rsidR="00000000" w:rsidDel="00000000" w:rsidP="00000000" w:rsidRDefault="00000000" w:rsidRPr="00000000" w14:paraId="000000A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for identificado o descumprimento injustificado do alcance das metas; ou</w:t>
                </w:r>
              </w:p>
              <w:p w:rsidR="00000000" w:rsidDel="00000000" w:rsidP="00000000" w:rsidRDefault="00000000" w:rsidRPr="00000000" w14:paraId="000000A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aceita denúncia de irregularidade, mediante juízo de admissibilidade realizado pelo Ente Público.</w:t>
                </w:r>
              </w:p>
            </w:tc>
          </w:tr>
        </w:tbl>
      </w:sdtContent>
    </w:sdt>
    <w:p w:rsidR="00000000" w:rsidDel="00000000" w:rsidP="00000000" w:rsidRDefault="00000000" w:rsidRPr="00000000" w14:paraId="000000A9">
      <w:pPr>
        <w:spacing w:after="160" w:line="259" w:lineRule="auto"/>
        <w:ind w:hanging="2"/>
        <w:jc w:val="both"/>
        <w:rPr>
          <w:rFonts w:ascii="Calibri" w:cs="Calibri" w:eastAsia="Calibri" w:hAnsi="Calibri"/>
        </w:rPr>
      </w:pPr>
      <w:r w:rsidDel="00000000" w:rsidR="00000000" w:rsidRPr="00000000">
        <w:rPr>
          <w:rtl w:val="0"/>
        </w:rPr>
      </w:r>
    </w:p>
    <w:sdt>
      <w:sdtPr>
        <w:lock w:val="contentLocked"/>
        <w:tag w:val="goog_rdk_7"/>
      </w:sdtPr>
      <w:sdtContent>
        <w:tbl>
          <w:tblPr>
            <w:tblStyle w:val="Table8"/>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AA">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DOS BENS REMANESCENTES</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A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rsidR="00000000" w:rsidDel="00000000" w:rsidP="00000000" w:rsidRDefault="00000000" w:rsidRPr="00000000" w14:paraId="000000A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Quando da extinção da parceria, os bens remanescentes permanecerão na propriedade da Entidade Cultural, na medida em que os bens sejam úteis à continuidade da execução de ações de interesse social pela organização.</w:t>
                </w:r>
              </w:p>
              <w:p w:rsidR="00000000" w:rsidDel="00000000" w:rsidP="00000000" w:rsidRDefault="00000000" w:rsidRPr="00000000" w14:paraId="000000AD">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Caso a prestação de contas final seja rejeitada, a titularidade dos bens remanescentes permanecerá com a Entidade Cultural, observados os seguintes procedimentos:</w:t>
                </w:r>
              </w:p>
              <w:p w:rsidR="00000000" w:rsidDel="00000000" w:rsidP="00000000" w:rsidRDefault="00000000" w:rsidRPr="00000000" w14:paraId="000000AE">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não será exigido ressarcimento do valor relativo ao bem adquirido quando a motivação da rejeição não estiver relacionada ao seu uso ou aquisição; ou</w:t>
                </w:r>
              </w:p>
              <w:p w:rsidR="00000000" w:rsidDel="00000000" w:rsidP="00000000" w:rsidRDefault="00000000" w:rsidRPr="00000000" w14:paraId="000000AF">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o valor pelo qual o bem remanescente foi adquirido deverá ser computado no cálculo do dano ao erário a ser ressarcido, quando a motivação da rejeição estiver relacionada ao seu uso ou aquisição. </w:t>
                </w:r>
              </w:p>
              <w:p w:rsidR="00000000" w:rsidDel="00000000" w:rsidP="00000000" w:rsidRDefault="00000000" w:rsidRPr="00000000" w14:paraId="000000B0">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Na hipótese de dissolução da Entidade Cultural durante a vigência do TCC, o valor pelo qual os bens remanescentes foram adquiridos deverá ser computado no cálculo do valor a ser ressarcido.</w:t>
                </w:r>
              </w:p>
              <w:p w:rsidR="00000000" w:rsidDel="00000000" w:rsidP="00000000" w:rsidRDefault="00000000" w:rsidRPr="00000000" w14:paraId="000000B1">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Entidade Cultural poderá realizar doação dos bens remanescentes a terceiros, inclusive beneficiários da política pública objeto da parceria, desde que demonstrada sua utilidade para realização ou continuidade de ações de interesse social.</w:t>
                </w:r>
              </w:p>
              <w:p w:rsidR="00000000" w:rsidDel="00000000" w:rsidP="00000000" w:rsidRDefault="00000000" w:rsidRPr="00000000" w14:paraId="000000B2">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rsidR="00000000" w:rsidDel="00000000" w:rsidP="00000000" w:rsidRDefault="00000000" w:rsidRPr="00000000" w14:paraId="000000B3">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8.7 A destinação dos bens remanescentes poderá ser alterada por meio da celebração de Termo Aditivo ao TCC, após solicitação fundamentada de uma das partes.</w:t>
                </w:r>
              </w:p>
              <w:p w:rsidR="00000000" w:rsidDel="00000000" w:rsidP="00000000" w:rsidRDefault="00000000" w:rsidRPr="00000000" w14:paraId="000000B4">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sdtContent>
    </w:sdt>
    <w:p w:rsidR="00000000" w:rsidDel="00000000" w:rsidP="00000000" w:rsidRDefault="00000000" w:rsidRPr="00000000" w14:paraId="000000B5">
      <w:pPr>
        <w:spacing w:after="160" w:line="259" w:lineRule="auto"/>
        <w:ind w:hanging="2"/>
        <w:jc w:val="both"/>
        <w:rPr>
          <w:rFonts w:ascii="Calibri" w:cs="Calibri" w:eastAsia="Calibri" w:hAnsi="Calibri"/>
        </w:rPr>
      </w:pPr>
      <w:r w:rsidDel="00000000" w:rsidR="00000000" w:rsidRPr="00000000">
        <w:rPr>
          <w:rtl w:val="0"/>
        </w:rPr>
      </w:r>
    </w:p>
    <w:sdt>
      <w:sdtPr>
        <w:lock w:val="contentLocked"/>
        <w:tag w:val="goog_rdk_8"/>
      </w:sdtPr>
      <w:sdtContent>
        <w:tbl>
          <w:tblPr>
            <w:tblStyle w:val="Table9"/>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B6">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DA PROPRIEDADE INTELECTUAL</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B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rsidR="00000000" w:rsidDel="00000000" w:rsidP="00000000" w:rsidRDefault="00000000" w:rsidRPr="00000000" w14:paraId="000000B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rsidR="00000000" w:rsidDel="00000000" w:rsidP="00000000" w:rsidRDefault="00000000" w:rsidRPr="00000000" w14:paraId="000000B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9.2.1 - Quanto aos direitos de que trata a Lei Nacional nº 9.279/1996, pelo uso de produto objeto de patente, processo ou produto obtido diretamente por processo patenteado, desenho industrial, indicação geográfica e marcas;</w:t>
                </w:r>
              </w:p>
              <w:p w:rsidR="00000000" w:rsidDel="00000000" w:rsidP="00000000" w:rsidRDefault="00000000" w:rsidRPr="00000000" w14:paraId="000000BA">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9.2.2 - Quanto aos direitos de que trata a Lei Nacional nº 9.610/1998, pelas seguintes modalidades:</w:t>
                </w:r>
              </w:p>
              <w:p w:rsidR="00000000" w:rsidDel="00000000" w:rsidP="00000000" w:rsidRDefault="00000000" w:rsidRPr="00000000" w14:paraId="000000B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 reprodução parcial ou integral, para fins de divulgação;</w:t>
                </w:r>
              </w:p>
              <w:p w:rsidR="00000000" w:rsidDel="00000000" w:rsidP="00000000" w:rsidRDefault="00000000" w:rsidRPr="00000000" w14:paraId="000000B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 tradução para qualquer idioma;</w:t>
                </w:r>
              </w:p>
              <w:p w:rsidR="00000000" w:rsidDel="00000000" w:rsidP="00000000" w:rsidRDefault="00000000" w:rsidRPr="00000000" w14:paraId="000000BD">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 inclusão em fonograma ou produção audiovisual;</w:t>
                </w:r>
              </w:p>
              <w:p w:rsidR="00000000" w:rsidDel="00000000" w:rsidP="00000000" w:rsidRDefault="00000000" w:rsidRPr="00000000" w14:paraId="000000BE">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a inclusão em base de dados, o armazenamento em computador, a microfilmagem e as demais formas de arquivamento do gênero.</w:t>
                </w:r>
              </w:p>
              <w:p w:rsidR="00000000" w:rsidDel="00000000" w:rsidP="00000000" w:rsidRDefault="00000000" w:rsidRPr="00000000" w14:paraId="000000BF">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sdtContent>
    </w:sdt>
    <w:p w:rsidR="00000000" w:rsidDel="00000000" w:rsidP="00000000" w:rsidRDefault="00000000" w:rsidRPr="00000000" w14:paraId="000000C0">
      <w:pPr>
        <w:spacing w:after="160" w:line="259" w:lineRule="auto"/>
        <w:ind w:hanging="2"/>
        <w:jc w:val="both"/>
        <w:rPr>
          <w:rFonts w:ascii="Calibri" w:cs="Calibri" w:eastAsia="Calibri" w:hAnsi="Calibri"/>
        </w:rPr>
      </w:pPr>
      <w:r w:rsidDel="00000000" w:rsidR="00000000" w:rsidRPr="00000000">
        <w:rPr>
          <w:rtl w:val="0"/>
        </w:rPr>
      </w:r>
    </w:p>
    <w:sdt>
      <w:sdtPr>
        <w:lock w:val="contentLocked"/>
        <w:tag w:val="goog_rdk_9"/>
      </w:sdtPr>
      <w:sdtContent>
        <w:tbl>
          <w:tblPr>
            <w:tblStyle w:val="Table10"/>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C1">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DO PRAZO DE VIGÊNCIA</w:t>
                </w:r>
              </w:p>
            </w:tc>
          </w:tr>
          <w:tr>
            <w:trPr>
              <w:cantSplit w:val="0"/>
              <w:trHeight w:val="98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C2">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prazo de vigência deste TCC será até o dia 30 de Julho, mediante acordo entre as partes, excetuadas as prorrogações de ofício por atraso na liberação dos recursos.</w:t>
                </w:r>
              </w:p>
              <w:p w:rsidR="00000000" w:rsidDel="00000000" w:rsidP="00000000" w:rsidRDefault="00000000" w:rsidRPr="00000000" w14:paraId="000000C3">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A vigência do TCC poderá ser alterada mediante solicitação da entidade cultural, a ser apresentada à administração pública em, no mínimo, trinta dias antes do término de sua vigência.</w:t>
                </w:r>
              </w:p>
              <w:p w:rsidR="00000000" w:rsidDel="00000000" w:rsidP="00000000" w:rsidRDefault="00000000" w:rsidRPr="00000000" w14:paraId="000000C4">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A prorrogação de ofício da vigência do instrumento deve ser feita pela administração pública, antes do seu término, quando ela der causa a atraso na liberação dos recursos, limitada ao exato período do atraso verificado.</w:t>
                </w:r>
              </w:p>
            </w:tc>
          </w:tr>
        </w:tbl>
      </w:sdtContent>
    </w:sdt>
    <w:p w:rsidR="00000000" w:rsidDel="00000000" w:rsidP="00000000" w:rsidRDefault="00000000" w:rsidRPr="00000000" w14:paraId="000000C5">
      <w:pPr>
        <w:spacing w:after="160" w:line="259" w:lineRule="auto"/>
        <w:ind w:hanging="2"/>
        <w:jc w:val="both"/>
        <w:rPr>
          <w:rFonts w:ascii="Calibri" w:cs="Calibri" w:eastAsia="Calibri" w:hAnsi="Calibri"/>
        </w:rPr>
      </w:pPr>
      <w:r w:rsidDel="00000000" w:rsidR="00000000" w:rsidRPr="00000000">
        <w:rPr>
          <w:rtl w:val="0"/>
        </w:rPr>
      </w:r>
    </w:p>
    <w:sdt>
      <w:sdtPr>
        <w:lock w:val="contentLocked"/>
        <w:tag w:val="goog_rdk_10"/>
      </w:sdtPr>
      <w:sdtContent>
        <w:tbl>
          <w:tblPr>
            <w:tblStyle w:val="Table11"/>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C6">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DA RESCISÃO</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C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rsidR="00000000" w:rsidDel="00000000" w:rsidP="00000000" w:rsidRDefault="00000000" w:rsidRPr="00000000" w14:paraId="000000C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 O Ente Público deverá rescindir este TCC caso seja cancelada a certificação simplificada do Pontão ou Pontão de Cultura, respeitados os atos jurídicos perfeitos, na forma do art. 11 da Instrução Normativa/MinC nº 8/2016.</w:t>
                </w:r>
              </w:p>
              <w:p w:rsidR="00000000" w:rsidDel="00000000" w:rsidP="00000000" w:rsidRDefault="00000000" w:rsidRPr="00000000" w14:paraId="000000C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rsidR="00000000" w:rsidDel="00000000" w:rsidP="00000000" w:rsidRDefault="00000000" w:rsidRPr="00000000" w14:paraId="000000CA">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11.4 Havendo rescisão, a entidade cultural fica obrigada a prestar contas de tudo que fora executado até a data da rescisão, observado o prazo e regras da Seção 7.</w:t>
                </w:r>
              </w:p>
            </w:tc>
          </w:tr>
        </w:tbl>
      </w:sdtContent>
    </w:sdt>
    <w:p w:rsidR="00000000" w:rsidDel="00000000" w:rsidP="00000000" w:rsidRDefault="00000000" w:rsidRPr="00000000" w14:paraId="000000CB">
      <w:pPr>
        <w:spacing w:after="160" w:line="259" w:lineRule="auto"/>
        <w:ind w:hanging="2"/>
        <w:jc w:val="both"/>
        <w:rPr>
          <w:rFonts w:ascii="Calibri" w:cs="Calibri" w:eastAsia="Calibri" w:hAnsi="Calibri"/>
        </w:rPr>
      </w:pPr>
      <w:r w:rsidDel="00000000" w:rsidR="00000000" w:rsidRPr="00000000">
        <w:rPr>
          <w:rtl w:val="0"/>
        </w:rPr>
      </w:r>
    </w:p>
    <w:sdt>
      <w:sdtPr>
        <w:lock w:val="contentLocked"/>
        <w:tag w:val="goog_rdk_11"/>
      </w:sdtPr>
      <w:sdtContent>
        <w:tbl>
          <w:tblPr>
            <w:tblStyle w:val="Table12"/>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CC">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DA PUBLICAÇÃO</w:t>
                </w:r>
              </w:p>
            </w:tc>
          </w:tr>
          <w:tr>
            <w:trPr>
              <w:cantSplit w:val="0"/>
              <w:trHeight w:val="85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CD">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Ente Público publicará extrato deste TCC no meio oficial de publicidade da administração pública, após a assinatura, para que se inicie a produção de seus efeitos.</w:t>
                </w:r>
              </w:p>
            </w:tc>
          </w:tr>
        </w:tbl>
      </w:sdtContent>
    </w:sdt>
    <w:p w:rsidR="00000000" w:rsidDel="00000000" w:rsidP="00000000" w:rsidRDefault="00000000" w:rsidRPr="00000000" w14:paraId="000000CE">
      <w:pPr>
        <w:spacing w:after="160" w:line="259" w:lineRule="auto"/>
        <w:ind w:hanging="2"/>
        <w:jc w:val="both"/>
        <w:rPr>
          <w:rFonts w:ascii="Calibri" w:cs="Calibri" w:eastAsia="Calibri" w:hAnsi="Calibri"/>
        </w:rPr>
      </w:pPr>
      <w:r w:rsidDel="00000000" w:rsidR="00000000" w:rsidRPr="00000000">
        <w:rPr>
          <w:rtl w:val="0"/>
        </w:rPr>
      </w:r>
    </w:p>
    <w:sdt>
      <w:sdtPr>
        <w:lock w:val="contentLocked"/>
        <w:tag w:val="goog_rdk_12"/>
      </w:sdtPr>
      <w:sdtContent>
        <w:tbl>
          <w:tblPr>
            <w:tblStyle w:val="Table13"/>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2"/>
            <w:tblGridChange w:id="0">
              <w:tblGrid>
                <w:gridCol w:w="9972"/>
              </w:tblGrid>
            </w:tblGridChange>
          </w:tblGrid>
          <w:tr>
            <w:trPr>
              <w:cantSplit w:val="0"/>
              <w:trHeight w:val="525" w:hRule="atLeast"/>
              <w:tblHeader w:val="0"/>
            </w:trPr>
            <w:tc>
              <w:tcPr>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CF">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DO FORO</w:t>
                </w:r>
              </w:p>
            </w:tc>
          </w:tr>
          <w:tr>
            <w:trPr>
              <w:cantSplit w:val="0"/>
              <w:trHeight w:val="85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D0">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partes comprometem-se a submeter eventuais controvérsias decorrentes do presente ajuste à prévia tentativa de solução administrativa. As controvérsias que não possam ser resolvidas administrativamente serão submetidas ao foro da Comarca de João Monlevade.</w:t>
                </w:r>
              </w:p>
            </w:tc>
          </w:tr>
        </w:tbl>
      </w:sdtContent>
    </w:sdt>
    <w:p w:rsidR="00000000" w:rsidDel="00000000" w:rsidP="00000000" w:rsidRDefault="00000000" w:rsidRPr="00000000" w14:paraId="000000D1">
      <w:pPr>
        <w:spacing w:after="160" w:line="259" w:lineRule="auto"/>
        <w:ind w:hanging="2"/>
        <w:jc w:val="both"/>
        <w:rPr>
          <w:rFonts w:ascii="Calibri" w:cs="Calibri" w:eastAsia="Calibri" w:hAnsi="Calibri"/>
        </w:rPr>
      </w:pPr>
      <w:r w:rsidDel="00000000" w:rsidR="00000000" w:rsidRPr="00000000">
        <w:rPr>
          <w:rtl w:val="0"/>
        </w:rPr>
      </w:r>
    </w:p>
    <w:sdt>
      <w:sdtPr>
        <w:lock w:val="contentLocked"/>
        <w:tag w:val="goog_rdk_13"/>
      </w:sdtPr>
      <w:sdtContent>
        <w:tbl>
          <w:tblPr>
            <w:tblStyle w:val="Table14"/>
            <w:tblW w:w="99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12"/>
            <w:gridCol w:w="5160"/>
            <w:tblGridChange w:id="0">
              <w:tblGrid>
                <w:gridCol w:w="4812"/>
                <w:gridCol w:w="5160"/>
              </w:tblGrid>
            </w:tblGridChange>
          </w:tblGrid>
          <w:tr>
            <w:trPr>
              <w:cantSplit w:val="0"/>
              <w:trHeight w:val="525" w:hRule="atLeast"/>
              <w:tblHeader w:val="0"/>
            </w:trPr>
            <w:tc>
              <w:tcPr>
                <w:gridSpan w:val="2"/>
                <w:tcBorders>
                  <w:top w:color="000000" w:space="0" w:sz="6" w:val="single"/>
                  <w:left w:color="000000" w:space="0" w:sz="6" w:val="single"/>
                  <w:bottom w:color="000000" w:space="0" w:sz="4" w:val="single"/>
                  <w:right w:color="000000" w:space="0" w:sz="6" w:val="single"/>
                </w:tcBorders>
                <w:shd w:fill="d9d9d9" w:val="clear"/>
                <w:tcMar>
                  <w:top w:w="0.0" w:type="dxa"/>
                  <w:left w:w="100.0" w:type="dxa"/>
                  <w:bottom w:w="0.0" w:type="dxa"/>
                  <w:right w:w="100.0" w:type="dxa"/>
                </w:tcMar>
              </w:tcPr>
              <w:p w:rsidR="00000000" w:rsidDel="00000000" w:rsidP="00000000" w:rsidRDefault="00000000" w:rsidRPr="00000000" w14:paraId="000000D2">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DATA E ASSINATURAS</w:t>
                </w:r>
              </w:p>
            </w:tc>
          </w:tr>
          <w:tr>
            <w:trPr>
              <w:cantSplit w:val="0"/>
              <w:trHeight w:val="85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D4">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por assim estarem plenamente de acordo, as partes obrigam-se ao total cumprimento dos termos do presente instrumento.</w:t>
                </w:r>
              </w:p>
            </w:tc>
          </w:tr>
          <w:tr>
            <w:trPr>
              <w:cantSplit w:val="0"/>
              <w:trHeight w:val="85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0.0" w:type="dxa"/>
                  <w:bottom w:w="0.0" w:type="dxa"/>
                  <w:right w:w="100.0" w:type="dxa"/>
                </w:tcMar>
              </w:tcPr>
              <w:p w:rsidR="00000000" w:rsidDel="00000000" w:rsidP="00000000" w:rsidRDefault="00000000" w:rsidRPr="00000000" w14:paraId="000000D6">
                <w:pPr>
                  <w:spacing w:after="120" w:before="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spacing w:after="120" w:before="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spacing w:after="120" w:before="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assinado eletronicamente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DA">
                <w:pPr>
                  <w:spacing w:after="120" w:before="12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w:t>
                </w:r>
              </w:p>
              <w:p w:rsidR="00000000" w:rsidDel="00000000" w:rsidP="00000000" w:rsidRDefault="00000000" w:rsidRPr="00000000" w14:paraId="000000D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CARGO</w:t>
                </w:r>
              </w:p>
              <w:p w:rsidR="00000000" w:rsidDel="00000000" w:rsidP="00000000" w:rsidRDefault="00000000" w:rsidRPr="00000000" w14:paraId="000000D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Representante legal da entidade cultural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DD">
                <w:pPr>
                  <w:spacing w:after="120" w:before="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E">
                <w:pPr>
                  <w:spacing w:after="120" w:before="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spacing w:after="120" w:before="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0">
                <w:pPr>
                  <w:spacing w:after="120" w:before="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1">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assinado eletronicamente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E2">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Representante legal do órgão ou entidade pública</w:t>
                </w:r>
              </w:p>
            </w:tc>
          </w:tr>
        </w:tbl>
      </w:sdtContent>
    </w:sdt>
    <w:p w:rsidR="00000000" w:rsidDel="00000000" w:rsidP="00000000" w:rsidRDefault="00000000" w:rsidRPr="00000000" w14:paraId="000000E3">
      <w:pPr>
        <w:spacing w:after="120" w:before="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4">
      <w:pPr>
        <w:spacing w:after="240" w:before="240" w:line="276" w:lineRule="auto"/>
        <w:rPr/>
      </w:pPr>
      <w:r w:rsidDel="00000000" w:rsidR="00000000" w:rsidRPr="00000000">
        <w:rPr>
          <w:rtl w:val="0"/>
        </w:rPr>
      </w:r>
    </w:p>
    <w:p w:rsidR="00000000" w:rsidDel="00000000" w:rsidP="00000000" w:rsidRDefault="00000000" w:rsidRPr="00000000" w14:paraId="000000E5">
      <w:pPr>
        <w:spacing w:after="240" w:before="240" w:line="276" w:lineRule="auto"/>
        <w:rPr/>
      </w:pPr>
      <w:r w:rsidDel="00000000" w:rsidR="00000000" w:rsidRPr="00000000">
        <w:rPr>
          <w:rtl w:val="0"/>
        </w:rPr>
      </w:r>
    </w:p>
    <w:p w:rsidR="00000000" w:rsidDel="00000000" w:rsidP="00000000" w:rsidRDefault="00000000" w:rsidRPr="00000000" w14:paraId="000000E6">
      <w:pPr>
        <w:spacing w:after="240" w:before="240" w:line="276" w:lineRule="auto"/>
        <w:rPr/>
      </w:pPr>
      <w:r w:rsidDel="00000000" w:rsidR="00000000" w:rsidRPr="00000000">
        <w:rPr>
          <w:rtl w:val="0"/>
        </w:rPr>
      </w:r>
    </w:p>
    <w:p w:rsidR="00000000" w:rsidDel="00000000" w:rsidP="00000000" w:rsidRDefault="00000000" w:rsidRPr="00000000" w14:paraId="000000E7">
      <w:pPr>
        <w:spacing w:after="240" w:before="240" w:line="276" w:lineRule="auto"/>
        <w:jc w:val="both"/>
        <w:rPr>
          <w:b w:val="1"/>
          <w:sz w:val="28"/>
          <w:szCs w:val="28"/>
        </w:rPr>
      </w:pPr>
      <w:r w:rsidDel="00000000" w:rsidR="00000000" w:rsidRPr="00000000">
        <w:rPr>
          <w:rtl w:val="0"/>
        </w:rPr>
      </w:r>
    </w:p>
    <w:p w:rsidR="00000000" w:rsidDel="00000000" w:rsidP="00000000" w:rsidRDefault="00000000" w:rsidRPr="00000000" w14:paraId="000000E8">
      <w:pPr>
        <w:spacing w:line="240" w:lineRule="auto"/>
        <w:ind w:hanging="2"/>
        <w:jc w:val="both"/>
        <w:rPr>
          <w:b w:val="1"/>
          <w:sz w:val="28"/>
          <w:szCs w:val="28"/>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rPr/>
    </w:pPr>
    <w:r w:rsidDel="00000000" w:rsidR="00000000" w:rsidRPr="00000000">
      <w:rPr/>
      <w:drawing>
        <wp:anchor allowOverlap="1" behindDoc="1" distB="0" distT="0" distL="0" distR="0" hidden="0" layoutInCell="1" locked="0" relativeHeight="0" simplePos="0">
          <wp:simplePos x="0" y="0"/>
          <wp:positionH relativeFrom="page">
            <wp:posOffset>4810125</wp:posOffset>
          </wp:positionH>
          <wp:positionV relativeFrom="page">
            <wp:posOffset>76200</wp:posOffset>
          </wp:positionV>
          <wp:extent cx="2627630" cy="641350"/>
          <wp:effectExtent b="0" l="0" r="0" t="0"/>
          <wp:wrapNone/>
          <wp:docPr id="12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7630" cy="641350"/>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1828800</wp:posOffset>
          </wp:positionH>
          <wp:positionV relativeFrom="paragraph">
            <wp:posOffset>-342865</wp:posOffset>
          </wp:positionV>
          <wp:extent cx="1843088" cy="596114"/>
          <wp:effectExtent b="0" l="0" r="0" t="0"/>
          <wp:wrapNone/>
          <wp:docPr id="12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843088" cy="59611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390525</wp:posOffset>
          </wp:positionH>
          <wp:positionV relativeFrom="paragraph">
            <wp:posOffset>-342865</wp:posOffset>
          </wp:positionV>
          <wp:extent cx="1352006" cy="685800"/>
          <wp:effectExtent b="0" l="0" r="0" t="0"/>
          <wp:wrapNone/>
          <wp:docPr descr="Logo Casa Cultura" id="125" name="image4.jpg"/>
          <a:graphic>
            <a:graphicData uri="http://schemas.openxmlformats.org/drawingml/2006/picture">
              <pic:pic>
                <pic:nvPicPr>
                  <pic:cNvPr descr="Logo Casa Cultura" id="0" name="image4.jpg"/>
                  <pic:cNvPicPr preferRelativeResize="0"/>
                </pic:nvPicPr>
                <pic:blipFill>
                  <a:blip r:embed="rId3"/>
                  <a:srcRect b="0" l="0" r="0" t="0"/>
                  <a:stretch>
                    <a:fillRect/>
                  </a:stretch>
                </pic:blipFill>
                <pic:spPr>
                  <a:xfrm>
                    <a:off x="0" y="0"/>
                    <a:ext cx="1352006" cy="6858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-761964</wp:posOffset>
          </wp:positionH>
          <wp:positionV relativeFrom="paragraph">
            <wp:posOffset>-342865</wp:posOffset>
          </wp:positionV>
          <wp:extent cx="1086343" cy="600075"/>
          <wp:effectExtent b="0" l="0" r="0" t="0"/>
          <wp:wrapNone/>
          <wp:docPr id="126"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1086343" cy="6000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2">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3">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4">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5">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6">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7">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8">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9">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table" w:styleId="Table10">
    <w:basedOn w:val="TableNormal"/>
    <w:pPr>
      <w:widowControl w:val="0"/>
      <w:ind w:left="0" w:hanging="1"/>
    </w:pPr>
    <w:rPr>
      <w:vertAlign w:val="baseline"/>
    </w:rPr>
    <w:tblPr>
      <w:tblStyleRowBandSize w:val="1"/>
      <w:tblStyleColBandSize w:val="1"/>
      <w:tblCellMar>
        <w:top w:w="100.0" w:type="dxa"/>
        <w:left w:w="110.0" w:type="dxa"/>
        <w:bottom w:w="10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4.jp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Q6JKhJcxAAzpzhvYETdmRu59iQ==">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