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567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60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60"/>
            <w:tblGridChange w:id="0">
              <w:tblGrid>
                <w:gridCol w:w="966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Nome da Entidade ou coletivo Cultural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_______________________________________________________________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1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3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-319080</wp:posOffset>
          </wp:positionV>
          <wp:extent cx="1647825" cy="535118"/>
          <wp:effectExtent b="0" l="0" r="0" t="0"/>
          <wp:wrapNone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-347655</wp:posOffset>
          </wp:positionV>
          <wp:extent cx="1183481" cy="600075"/>
          <wp:effectExtent b="0" l="0" r="0" t="0"/>
          <wp:wrapNone/>
          <wp:docPr descr="Logo Casa Cultura" id="38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-276218</wp:posOffset>
          </wp:positionV>
          <wp:extent cx="1038225" cy="446488"/>
          <wp:effectExtent b="0" l="0" r="0" t="0"/>
          <wp:wrapNone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-800091</wp:posOffset>
          </wp:positionH>
          <wp:positionV relativeFrom="paragraph">
            <wp:posOffset>-342890</wp:posOffset>
          </wp:positionV>
          <wp:extent cx="1053978" cy="600075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1Q8g3sDMrMPsicaT91jNV48tQ==">CgMxLjAaHgoBMBIZChcICVITChF0YWJsZS54dGY2NDlpbmEzeDgAciExdTM3SWNtWVZDRDlZdm8xeTVEZnNkcG9uM2NLUzd1a0k=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