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br w:type="textWrapping"/>
        <w:br w:type="textWrapping"/>
        <w:t xml:space="preserve">ANEXO 02 - CRITÉRIOS DE AVALIAÇÃO DA ETAPA DE SELEÇÃO</w:t>
      </w:r>
    </w:p>
    <w:p w:rsidR="00000000" w:rsidDel="00000000" w:rsidP="00000000" w:rsidRDefault="00000000" w:rsidRPr="00000000" w14:paraId="0000000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765" w:tblpY="0"/>
            <w:tblW w:w="1069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570"/>
            <w:gridCol w:w="4410"/>
            <w:gridCol w:w="1275"/>
            <w:gridCol w:w="1395"/>
            <w:gridCol w:w="1410"/>
            <w:gridCol w:w="1635"/>
            <w:tblGridChange w:id="0">
              <w:tblGrid>
                <w:gridCol w:w="570"/>
                <w:gridCol w:w="4410"/>
                <w:gridCol w:w="1275"/>
                <w:gridCol w:w="1395"/>
                <w:gridCol w:w="1410"/>
                <w:gridCol w:w="1635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DISTRIBUIÇÃO DOS PONTOS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PONTUAÇÃO MÁXIMA NO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Não Atende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Atende Parcialmente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Atende Plenamente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100 pontos</w:t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Representa iniciativas culturais já desenvolvidas por comunidades, grupos e redes de colaboração.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b)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Promove, amplia e garante a criação e a produção artística e cultural.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Incentiva a preservação da cultura brasileira.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Estimula a exploração de espaços públicos e privados para serem disponibilizados para a ação cultural.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Aumenta a visibilidade das diversas iniciativas culturais.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Promove a diversidade cultural brasileira, garantindo diálogos interculturais.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Garante acesso aos meios de fruição, produção e difusão cultural.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h)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Assegura a inclusão cultural da população idosa, de mulheres, jovens, pessoas negras, com deficiência, LGBTQIAP+ e/ou de baixa renda, combatendo as desigualdades sociais.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Contribui para o fortalecimento da autonomia social das comunidades.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Promove o intercâmbio entre diferentes segmentos da comunidade.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k)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Estimula a articulação das redes sociais e culturais e dessas com a educação.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Adota princípios de gestão compartilhada entre atores culturais não governamentais e o Estado.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Fomenta as economias solidária e criativa.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Protege o patrimônio cultural material, imaterial e promove as memórias comunitárias.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Apoia e incentiva manifestações culturais populares e tradicionais.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Realiza atividades culturais gratuitas e abertas com regularidade na comunidade.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 ações da entidade/coletivo estão relacionadas aos eixos estruturantes da PNCV, por meio de ações nas áreas de formação, produção e/ou difusão sociocultural de maneira continuada.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 entidade possui articulação com outras organizações, compondo Frentes, Redes, Conselhos, Comissões, dentre outros espaços de participação e incidência política em áreas sinérgicas a PNCV.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0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Bloco 2 - Bonificações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Será atribuída uma bonificação de até </w:t>
      </w:r>
      <w:r w:rsidDel="00000000" w:rsidR="00000000" w:rsidRPr="00000000">
        <w:rPr>
          <w:b w:val="1"/>
          <w:rtl w:val="0"/>
        </w:rPr>
        <w:t xml:space="preserve">5 pontos</w:t>
      </w:r>
      <w:r w:rsidDel="00000000" w:rsidR="00000000" w:rsidRPr="00000000">
        <w:rPr>
          <w:rtl w:val="0"/>
        </w:rPr>
        <w:t xml:space="preserve"> para projetos/entidades que atendam aos critérios estabelecidos pela Fundação, como ações afirmativas ou inclusão social.</w:t>
        <w:br w:type="textWrapping"/>
        <w:br w:type="textWrapping"/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“CAPÍTULO III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c) outras estratégias de democratização do acesso.</w:t>
      </w:r>
    </w:p>
    <w:p w:rsidR="00000000" w:rsidDel="00000000" w:rsidP="00000000" w:rsidRDefault="00000000" w:rsidRPr="00000000" w14:paraId="0000008F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9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9B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-319085</wp:posOffset>
          </wp:positionV>
          <wp:extent cx="1647825" cy="535118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-347660</wp:posOffset>
          </wp:positionV>
          <wp:extent cx="1183481" cy="600075"/>
          <wp:effectExtent b="0" l="0" r="0" t="0"/>
          <wp:wrapNone/>
          <wp:docPr descr="Logo Casa Cultura" id="1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-276222</wp:posOffset>
          </wp:positionV>
          <wp:extent cx="1038225" cy="446488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-800097</wp:posOffset>
          </wp:positionH>
          <wp:positionV relativeFrom="paragraph">
            <wp:posOffset>-342897</wp:posOffset>
          </wp:positionV>
          <wp:extent cx="1053978" cy="6000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kNaN9D+brHdOy0duyVtujHrQQ==">CgMxLjAaHwoBMBIaChgICVIUChJ0YWJsZS4zOHk5bXo4MDk4dHM4AHIhMVFyTWI0R3ViUFJmT2JqN3lzSWJ4d3lLQlllNDhaZkgw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