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25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REVOGA PORTARIAS MUNICIPAIS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 RETIFICAR PORTARIA 167  DE 15 DE JANEIRO DE 2021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Onde se lê: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Revogar as Portarias Municipais publicadas pela anterior gestão municipal (2017/2020) que concederam gratificações aos servidores públicos municipais com base no art. 16, da Lei Municipal nº 955/89.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Leia - se: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Revogar as Portarias Municipais publicadas pelas anteriores gestões municipais que concederam gratificações aos servidores públicos municipais com base no art. 16, da Lei Municipal nº 955/89.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 retroagindo seus efeitos desde a data de 01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quinto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6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LYc8UbAjoF+t4yho4u7fLV00Cw==">AMUW2mUKlJ0+i+H4zgpAyIuJ5+5lOdiX3wceq9gAGRqZ9FcdYusmP3BSj70GpgMS1x6FpeTO5tSYI97LVRCGr+RV2fkzdXgKZdUfAdN6XbCexgNcWNQFja0=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