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AFASTA SERVIDOR OCUPANTE DE CARGO EFETIVO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Fica afastada, a servidora,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Mirellie Marcenes Santos, </w:t>
      </w:r>
      <w:r w:rsidDel="00000000" w:rsidR="00000000" w:rsidRPr="00000000">
        <w:rPr>
          <w:rFonts w:ascii="Arial" w:cs="Arial" w:eastAsia="Arial" w:hAnsi="Arial"/>
          <w:rtl w:val="0"/>
        </w:rPr>
        <w:t xml:space="preserve">do cargo efetivo de Enfermeira ESF (010761), em virtude da nomeação para o cargo de Secretária Municipal de Saúde, conforme disposições constantes no parágrafo único do Art. 3º da  Lei Municipal nº 1781/08 e Portaria Municipal nº175/2021, de 19 de janeiro de 2021.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VgriRH9prmKCBOgsM/GDKbr5A==">AMUW2mUsMZ6G3+CtaH51eQEz0Z3z3C3KUg8LBx2C+4s6spi5qdM7O5zPM1tgfJK8UJpHckXbFEjeAGmmVsMTUx/9EWjXDSkfvSvcEHXtenrcijq9LYHN9kE=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