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198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25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REVOGA PORTARIA DO SERVIDOR OCUPANTE DE CARGO EFETIVO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Revoga a Portaria n°170 de 15 de Janeiro 2021,publicado na data de 21 de Janeiro de 2021,mantendo os efeitos da portaria n° 170 de 19 de Janeiro 2021 publicado na data de 25 de Janeiro de 2021.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janeiro de 2021.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</w:t>
      </w:r>
      <w:r w:rsidDel="00000000" w:rsidR="00000000" w:rsidRPr="00000000">
        <w:rPr>
          <w:rFonts w:ascii="Arial" w:cs="Arial" w:eastAsia="Arial" w:hAnsi="Arial"/>
          <w:rtl w:val="0"/>
        </w:rPr>
        <w:t xml:space="preserve">vigésimo quinto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t9kqrU8EydAbzN8acrrroYDBtw==">AMUW2mVggMSsHp6YZXRf03HuIB0A+Na2yu1fstCz/nemOTdN6YwtrtB2lf9K4s2rCd+3mni+UwYrdlUZKGWTdO73I3/hUpbVg8r+ygsxcSH9jAsFDQx4N58=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