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° 170/2024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04 DE ABRIL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20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24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REVOGA PORTARIA Nº 147 DE 25 DE MARÇO DE 2024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Revogar, os efeitos da portaria nº 147, de 25  de Março de 2024.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04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rtl w:val="0"/>
        </w:rPr>
        <w:t xml:space="preserve">Abril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 </w:t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</w:t>
      </w:r>
      <w:r w:rsidDel="00000000" w:rsidR="00000000" w:rsidRPr="00000000">
        <w:rPr>
          <w:rFonts w:ascii="Arial" w:cs="Arial" w:eastAsia="Arial" w:hAnsi="Arial"/>
          <w:rtl w:val="0"/>
        </w:rPr>
        <w:t xml:space="preserve">ao quarto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</w:t>
      </w:r>
      <w:r w:rsidDel="00000000" w:rsidR="00000000" w:rsidRPr="00000000">
        <w:rPr>
          <w:rFonts w:ascii="Arial" w:cs="Arial" w:eastAsia="Arial" w:hAnsi="Arial"/>
          <w:rtl w:val="0"/>
        </w:rPr>
        <w:t xml:space="preserve">Abril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line="24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Cristiano Vasconcelos Araújo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EfG7N80eSIBChB6Fq43SSwCtoA==">CgMxLjA4AHIhMUFZcUVkYVlTN2pmM3VvZUkzSkJ3T2lJcjhwRjZsenVC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