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170/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 MUNICIPAL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Art. 1°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Nomear, a parti de 15 de janeiro de 2021,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Mirellié Marcenes Santos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Secretária Municipal de Saúde (S- 28);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, em especial a portaria número 02/2021.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décimo 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wRJzk7BOp14BgUBf9mGfieIoFQ==">AMUW2mU/Z9CPr723XqCDc0h1M2CxC4FYpNrZz5vSJRy/LHXCuB3m3cMogawnlz91qnD0l+D0uhHIxcHGm/1vBDdwk7gDIjHV61LqM2dBxoFbj/J1a83gd3s=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