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15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REVOGA PORTARIAS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MUNICIPAIS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ind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CONSIDERANDO,</w:t>
      </w:r>
      <w:r w:rsidDel="00000000" w:rsidR="00000000" w:rsidRPr="00000000">
        <w:rPr>
          <w:rFonts w:ascii="Arial" w:cs="Arial" w:eastAsia="Arial" w:hAnsi="Arial"/>
          <w:rtl w:val="0"/>
        </w:rPr>
        <w:t xml:space="preserve"> o início da atual administração municipal (gestão 2.021/2.024);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ind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CONSIDERANDO,</w:t>
      </w:r>
      <w:r w:rsidDel="00000000" w:rsidR="00000000" w:rsidRPr="00000000">
        <w:rPr>
          <w:rFonts w:ascii="Arial" w:cs="Arial" w:eastAsia="Arial" w:hAnsi="Arial"/>
          <w:rtl w:val="0"/>
        </w:rPr>
        <w:t xml:space="preserve"> a existência de Portarias Municipais que concediam gratificações a servidores municipais pelo preenchimento dos requisitos dispostos no art. 16, da Lei Municipal nº 955/89, que “</w:t>
      </w:r>
      <w:r w:rsidDel="00000000" w:rsidR="00000000" w:rsidRPr="00000000">
        <w:rPr>
          <w:rFonts w:ascii="Arial" w:cs="Arial" w:eastAsia="Arial" w:hAnsi="Arial"/>
          <w:rtl w:val="0"/>
        </w:rPr>
        <w:t xml:space="preserve">Institui o Plano de Cargos e Salários da Prefeitura Municipal de João Monlevade e dá outras providências</w:t>
      </w:r>
      <w:r w:rsidDel="00000000" w:rsidR="00000000" w:rsidRPr="00000000">
        <w:rPr>
          <w:rFonts w:ascii="Arial" w:cs="Arial" w:eastAsia="Arial" w:hAnsi="Arial"/>
          <w:rtl w:val="0"/>
        </w:rPr>
        <w:t xml:space="preserve">”;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ind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que, as gratificações eram concedidas de acordo com o preenchimento das seguintes condições previstas no referido art. 16: I – pelo exercício excepcional da função; II – quando o exercício funcional se manifestar penoso ou gravoso ao servidor; III – quando for atribuído ao servidor o exercício de tarefas complexas de maior responsabilidade, ou excedente a sua função; IV – a título de incentivo ou retributiva a produtividade.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ind w:firstLine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que, com o início da atual administração houve alteração do exercício das funções de diversos servidores;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ind w:left="708.661417322834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 E S O L V 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Revogar as Portarias Municipais publicadas pela anterior gestão municipal (2017/2020) que concederam gratificações aos servidores públicos municipais com base no art. 16, da Lei Municipal nº 955/89.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Esta Portaria entrará em vigor na data d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retroagindo seus    efeitos desde a data de 01 de janeiro de 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ao décimo quinto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ZthadjGMzhzaetL+I3EihPr7UQ==">AMUW2mUhR3nvQSYGIPV6N99Hw0rm2y2FsAxQApBMrpUXu/WChPLIxlQCGYmXSihiCWthnpSUBhbO13pQWqC601mIsnOE+Sc/lyV1wygjGnbBp++mvllmhCo=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