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DE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EXONERA  SERVIDOR OCUPANTE DE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CARGO COMISSIONADO DO  MUNICÍPIO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Exonera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Lethicia Rayssa Braga</w:t>
      </w:r>
      <w:r w:rsidDel="00000000" w:rsidR="00000000" w:rsidRPr="00000000">
        <w:rPr>
          <w:rFonts w:ascii="Arial" w:cs="Arial" w:eastAsia="Arial" w:hAnsi="Arial"/>
          <w:rtl w:val="0"/>
        </w:rPr>
        <w:t xml:space="preserve"> do seu respectivo cargo comissionado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 -14),</w:t>
      </w:r>
      <w:r w:rsidDel="00000000" w:rsidR="00000000" w:rsidRPr="00000000">
        <w:rPr>
          <w:rFonts w:ascii="Arial" w:cs="Arial" w:eastAsia="Arial" w:hAnsi="Arial"/>
          <w:rtl w:val="0"/>
        </w:rPr>
        <w:t xml:space="preserve"> a partir de 15 de Janeiro de 2021.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