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PLANEJAMENTO EM   SAÚDE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Samanta Cristina Taveira 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Planejamento em Saúde (S- 18)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5jcCzGVht4V3qFukbWSOSaXeHQ==">AMUW2mXSapCf6L0Hx6lXIDToP4uQ2uHRlAB4gSQV8AhgAnX/lxSiOTQeyrlEM52Af7F0qsEYlhDjjglbsmhZqEx92hex1/ubFFgqqxtQ0mEBHw3v9ODrris=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