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121 DE 05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Onde se lê: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Nomeia, a partir de 05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Sirlene da Silva Costa,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(S- 19)</w:t>
      </w:r>
      <w:r w:rsidDel="00000000" w:rsidR="00000000" w:rsidRPr="00000000">
        <w:rPr>
          <w:rFonts w:ascii="Arial" w:cs="Arial" w:eastAsia="Arial" w:hAnsi="Arial"/>
          <w:rtl w:val="0"/>
        </w:rPr>
        <w:t xml:space="preserve"> 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Leia - se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Nomeia, a partir de 08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Sirlene da Silva Costa,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ocupar o cargo comissionado de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2°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 Portaria entrará em vigor na data de sua publicação.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janeiro de 2021.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YwMhbkAVMPFX2ebHDFpO+umrKg==">AMUW2mVcMo8UGADhZjT74zlXXRxJ/JWPmrMcDkxRtmoH+9LdJShYFFZu0GhOzY+Cz5dIqNdzEjWzhp/6uRfCFy/lAo19xkbwVo7yASEnjFNrF/Qvol/poKk=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