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115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ASSESSOR ESPECIAL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DO MUNICÍPIO DE JOÃO MONLEVADE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Rosa Cecília Machado Otoni de Barros</w:t>
      </w:r>
      <w:r w:rsidDel="00000000" w:rsidR="00000000" w:rsidRPr="00000000">
        <w:rPr>
          <w:rFonts w:ascii="Arial" w:cs="Arial" w:eastAsia="Arial" w:hAnsi="Arial"/>
          <w:rtl w:val="0"/>
        </w:rPr>
        <w:t xml:space="preserve"> para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comissionado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Assessor Especial (S-24)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quinto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03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9pBxyE7R6R8MyjsbFEgFeYDGPw==">AMUW2mUyT0Qsp+NaUeUdjnncbkeDYma9Bl6acq+ncnPnS9mJWPYCZXhsEIuUl9QN3Uho5r1fOcrbaKu8kUcpEEHvAvOr4xzldUO7xgUMz+zTLb1bg+yO7z0=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