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452F" w:rsidRPr="009262B3" w:rsidRDefault="004A452F">
      <w:pPr>
        <w:spacing w:line="360" w:lineRule="auto"/>
        <w:ind w:firstLine="709"/>
        <w:rPr>
          <w:b/>
        </w:rPr>
      </w:pPr>
    </w:p>
    <w:p w:rsidR="004A452F" w:rsidRPr="009262B3" w:rsidRDefault="009262B3">
      <w:pPr>
        <w:spacing w:line="360" w:lineRule="auto"/>
        <w:ind w:firstLine="709"/>
        <w:jc w:val="center"/>
        <w:rPr>
          <w:rFonts w:eastAsia="Verdana"/>
          <w:b/>
        </w:rPr>
      </w:pPr>
      <w:r>
        <w:rPr>
          <w:rFonts w:eastAsia="Verdana"/>
          <w:b/>
        </w:rPr>
        <w:t xml:space="preserve">DECRETO </w:t>
      </w:r>
      <w:proofErr w:type="gramStart"/>
      <w:r>
        <w:rPr>
          <w:rFonts w:eastAsia="Verdana"/>
          <w:b/>
        </w:rPr>
        <w:t xml:space="preserve">Nº </w:t>
      </w:r>
      <w:r w:rsidR="00921011">
        <w:rPr>
          <w:rFonts w:eastAsia="Verdana"/>
          <w:b/>
        </w:rPr>
        <w:t xml:space="preserve"> 22</w:t>
      </w:r>
      <w:proofErr w:type="gramEnd"/>
      <w:r>
        <w:rPr>
          <w:rFonts w:eastAsia="Verdana"/>
          <w:b/>
        </w:rPr>
        <w:t xml:space="preserve">    </w:t>
      </w:r>
    </w:p>
    <w:p w:rsidR="004A452F" w:rsidRPr="009262B3" w:rsidRDefault="00163329">
      <w:pPr>
        <w:spacing w:line="360" w:lineRule="auto"/>
        <w:ind w:firstLine="709"/>
        <w:jc w:val="center"/>
        <w:rPr>
          <w:rFonts w:eastAsia="Verdana"/>
          <w:b/>
        </w:rPr>
      </w:pPr>
      <w:r w:rsidRPr="009262B3">
        <w:rPr>
          <w:rFonts w:eastAsia="Verdana"/>
          <w:b/>
        </w:rPr>
        <w:t xml:space="preserve">DE </w:t>
      </w:r>
      <w:r w:rsidR="009262B3" w:rsidRPr="009262B3">
        <w:rPr>
          <w:rFonts w:eastAsia="Verdana"/>
          <w:b/>
        </w:rPr>
        <w:t>09</w:t>
      </w:r>
      <w:r w:rsidRPr="009262B3">
        <w:rPr>
          <w:rFonts w:eastAsia="Verdana"/>
          <w:b/>
        </w:rPr>
        <w:t xml:space="preserve"> DE </w:t>
      </w:r>
      <w:r w:rsidR="009262B3" w:rsidRPr="009262B3">
        <w:rPr>
          <w:rFonts w:eastAsia="Verdana"/>
          <w:b/>
        </w:rPr>
        <w:t>FEVEREIRO</w:t>
      </w:r>
      <w:r w:rsidRPr="009262B3">
        <w:rPr>
          <w:rFonts w:eastAsia="Verdana"/>
          <w:b/>
        </w:rPr>
        <w:t xml:space="preserve"> DE 2022.</w:t>
      </w:r>
    </w:p>
    <w:p w:rsidR="004A452F" w:rsidRPr="009262B3" w:rsidRDefault="004A452F">
      <w:pPr>
        <w:spacing w:line="360" w:lineRule="auto"/>
        <w:ind w:firstLine="709"/>
        <w:jc w:val="both"/>
        <w:rPr>
          <w:rFonts w:eastAsia="Verdana"/>
        </w:rPr>
      </w:pPr>
    </w:p>
    <w:p w:rsidR="004A452F" w:rsidRPr="009262B3" w:rsidRDefault="00163329">
      <w:pPr>
        <w:ind w:left="3540"/>
        <w:jc w:val="both"/>
        <w:rPr>
          <w:rFonts w:eastAsia="Verdana"/>
          <w:b/>
        </w:rPr>
      </w:pPr>
      <w:r w:rsidRPr="009262B3">
        <w:rPr>
          <w:rFonts w:eastAsia="Verdana"/>
          <w:b/>
        </w:rPr>
        <w:t>DISPÕE SOBRE A</w:t>
      </w:r>
      <w:r w:rsidR="009262B3" w:rsidRPr="009262B3">
        <w:rPr>
          <w:rFonts w:eastAsia="Verdana"/>
          <w:b/>
        </w:rPr>
        <w:t>LTERAÇÕES NO DECRETO 12/2022 DE 12 DE JANEIRO DE 2022, QUE DISPÕE</w:t>
      </w:r>
      <w:r w:rsidRPr="009262B3">
        <w:rPr>
          <w:rFonts w:eastAsia="Verdana"/>
          <w:b/>
        </w:rPr>
        <w:t xml:space="preserve"> EXIGÊNCIA DE COMPROVANTE DA VACINAÇÃO CONTRA A COVID-19 PARA ACESSO A EVENTOS NO MUNICÍPIO DE JOÃO MONLEVADE.</w:t>
      </w:r>
    </w:p>
    <w:p w:rsidR="004A452F" w:rsidRPr="009262B3" w:rsidRDefault="004A45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Verdana"/>
          <w:color w:val="000000"/>
        </w:rPr>
      </w:pPr>
    </w:p>
    <w:p w:rsidR="004A452F" w:rsidRPr="009262B3" w:rsidRDefault="00163329">
      <w:pPr>
        <w:spacing w:line="360" w:lineRule="auto"/>
        <w:ind w:firstLine="709"/>
        <w:jc w:val="both"/>
        <w:rPr>
          <w:rFonts w:eastAsia="Verdana"/>
        </w:rPr>
      </w:pPr>
      <w:r w:rsidRPr="009262B3">
        <w:rPr>
          <w:rFonts w:eastAsia="Verdana"/>
        </w:rPr>
        <w:t xml:space="preserve">O </w:t>
      </w:r>
      <w:r w:rsidRPr="009262B3">
        <w:rPr>
          <w:rFonts w:eastAsia="Verdana"/>
          <w:b/>
        </w:rPr>
        <w:t>PREFEITO MUNICIPAL DE JOÃO MONLEVADE - MG</w:t>
      </w:r>
      <w:r w:rsidRPr="009262B3">
        <w:rPr>
          <w:rFonts w:eastAsia="Verdana"/>
        </w:rPr>
        <w:t>, no desempenho de suas atribuições legais conferidas pelo artigo 52, inciso VI, da Lei Orgânica Municipal, e</w:t>
      </w:r>
    </w:p>
    <w:p w:rsidR="004A452F" w:rsidRPr="009262B3" w:rsidRDefault="004A452F">
      <w:pPr>
        <w:spacing w:line="360" w:lineRule="auto"/>
        <w:ind w:firstLine="709"/>
        <w:jc w:val="both"/>
        <w:rPr>
          <w:rFonts w:eastAsia="Verdana"/>
        </w:rPr>
      </w:pPr>
    </w:p>
    <w:p w:rsidR="004A452F" w:rsidRPr="009262B3" w:rsidRDefault="001633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Verdana"/>
          <w:color w:val="000000"/>
        </w:rPr>
      </w:pPr>
      <w:r w:rsidRPr="009262B3">
        <w:rPr>
          <w:rFonts w:eastAsia="Verdana"/>
          <w:b/>
          <w:color w:val="000000"/>
        </w:rPr>
        <w:t>CONSIDERANDO</w:t>
      </w:r>
      <w:r w:rsidRPr="009262B3">
        <w:rPr>
          <w:rFonts w:eastAsia="Verdana"/>
          <w:color w:val="000000"/>
        </w:rPr>
        <w:t xml:space="preserve"> </w:t>
      </w:r>
      <w:r w:rsidRPr="009262B3">
        <w:rPr>
          <w:rFonts w:eastAsia="Verdana"/>
        </w:rPr>
        <w:t>a situação atual da Pandemia de COVID-19 que aponta aumento do número de casos do COVID-19 decorren</w:t>
      </w:r>
      <w:r w:rsidR="00921011">
        <w:rPr>
          <w:rFonts w:eastAsia="Verdana"/>
        </w:rPr>
        <w:t xml:space="preserve">te da disseminação da variante </w:t>
      </w:r>
      <w:proofErr w:type="spellStart"/>
      <w:r w:rsidR="00921011">
        <w:rPr>
          <w:rFonts w:eastAsia="Verdana"/>
        </w:rPr>
        <w:t>o</w:t>
      </w:r>
      <w:r w:rsidRPr="009262B3">
        <w:rPr>
          <w:rFonts w:eastAsia="Verdana"/>
        </w:rPr>
        <w:t>micron</w:t>
      </w:r>
      <w:proofErr w:type="spellEnd"/>
      <w:r w:rsidRPr="009262B3">
        <w:rPr>
          <w:rFonts w:eastAsia="Verdana"/>
          <w:color w:val="000000"/>
        </w:rPr>
        <w:t>;</w:t>
      </w:r>
    </w:p>
    <w:p w:rsidR="004A452F" w:rsidRPr="00921011" w:rsidRDefault="00163329" w:rsidP="009210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Verdana"/>
        </w:rPr>
      </w:pPr>
      <w:r w:rsidRPr="009262B3">
        <w:rPr>
          <w:rFonts w:eastAsia="Verdana"/>
          <w:b/>
        </w:rPr>
        <w:t>CONSIDERANDO</w:t>
      </w:r>
      <w:r w:rsidRPr="009262B3">
        <w:rPr>
          <w:rFonts w:eastAsia="Verdana"/>
        </w:rPr>
        <w:t xml:space="preserve"> o </w:t>
      </w:r>
      <w:hyperlink r:id="rId8">
        <w:r w:rsidRPr="009262B3">
          <w:rPr>
            <w:rFonts w:eastAsia="Verdana"/>
          </w:rPr>
          <w:t>Decreto Municipal  nº 120, de 01 de outubro de 2021</w:t>
        </w:r>
      </w:hyperlink>
      <w:r w:rsidRPr="009262B3">
        <w:rPr>
          <w:rFonts w:eastAsia="Verdana"/>
        </w:rPr>
        <w:t xml:space="preserve"> que autoriza a realização de feiras, convenções, congressos e outros eventos;</w:t>
      </w:r>
    </w:p>
    <w:p w:rsidR="004A452F" w:rsidRPr="009262B3" w:rsidRDefault="001633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Verdana"/>
          <w:color w:val="000000"/>
        </w:rPr>
      </w:pPr>
      <w:r w:rsidRPr="009262B3">
        <w:rPr>
          <w:rFonts w:eastAsia="Verdana"/>
          <w:b/>
          <w:color w:val="000000"/>
        </w:rPr>
        <w:t>CONSIDERANDO</w:t>
      </w:r>
      <w:r w:rsidRPr="009262B3">
        <w:rPr>
          <w:rFonts w:eastAsia="Verdana"/>
        </w:rPr>
        <w:t xml:space="preserve"> a proximidade do Carnaval e a provável realização de festas neste período</w:t>
      </w:r>
      <w:r w:rsidRPr="009262B3">
        <w:rPr>
          <w:rFonts w:eastAsia="Verdana"/>
          <w:color w:val="000000"/>
        </w:rPr>
        <w:t>;</w:t>
      </w:r>
    </w:p>
    <w:p w:rsidR="004A452F" w:rsidRPr="009262B3" w:rsidRDefault="004A45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Verdana"/>
          <w:color w:val="000000"/>
        </w:rPr>
      </w:pPr>
    </w:p>
    <w:p w:rsidR="004A452F" w:rsidRPr="00DA784B" w:rsidRDefault="00163329" w:rsidP="00DA7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Verdana"/>
          <w:b/>
          <w:color w:val="000000"/>
        </w:rPr>
      </w:pPr>
      <w:r w:rsidRPr="009262B3">
        <w:rPr>
          <w:rFonts w:eastAsia="Verdana"/>
          <w:b/>
          <w:color w:val="000000"/>
        </w:rPr>
        <w:t>DECRETA:</w:t>
      </w:r>
    </w:p>
    <w:p w:rsidR="009262B3" w:rsidRPr="009262B3" w:rsidRDefault="00163329" w:rsidP="009262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Verdana"/>
          <w:color w:val="000000"/>
        </w:rPr>
      </w:pPr>
      <w:r w:rsidRPr="009262B3">
        <w:rPr>
          <w:rFonts w:eastAsia="Verdana"/>
          <w:b/>
          <w:color w:val="000000"/>
        </w:rPr>
        <w:t>Art. 1º</w:t>
      </w:r>
      <w:r w:rsidRPr="009262B3">
        <w:rPr>
          <w:rFonts w:eastAsia="Verdana"/>
          <w:color w:val="000000"/>
        </w:rPr>
        <w:t xml:space="preserve"> </w:t>
      </w:r>
      <w:r w:rsidR="009262B3" w:rsidRPr="009262B3">
        <w:rPr>
          <w:rFonts w:eastAsia="Verdana"/>
          <w:color w:val="000000"/>
        </w:rPr>
        <w:t>O Art.1º do Decreto 12/2022 de 12 de janeiro de 2022 passa a vigorar com a seguinte redação:</w:t>
      </w:r>
    </w:p>
    <w:p w:rsidR="009262B3" w:rsidRDefault="00DA784B" w:rsidP="009262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09"/>
        <w:jc w:val="both"/>
        <w:rPr>
          <w:color w:val="212529"/>
          <w:shd w:val="clear" w:color="auto" w:fill="FFFFFF"/>
        </w:rPr>
      </w:pPr>
      <w:r>
        <w:rPr>
          <w:rFonts w:eastAsia="Verdana"/>
          <w:color w:val="000000"/>
        </w:rPr>
        <w:t>“</w:t>
      </w:r>
      <w:r w:rsidR="009262B3" w:rsidRPr="009262B3">
        <w:rPr>
          <w:rFonts w:eastAsia="Verdana"/>
          <w:color w:val="000000"/>
        </w:rPr>
        <w:t>D</w:t>
      </w:r>
      <w:r w:rsidR="009262B3" w:rsidRPr="009262B3">
        <w:rPr>
          <w:color w:val="212529"/>
          <w:shd w:val="clear" w:color="auto" w:fill="FFFFFF"/>
        </w:rPr>
        <w:t xml:space="preserve">eve ser exigida </w:t>
      </w:r>
      <w:r>
        <w:rPr>
          <w:color w:val="212529"/>
          <w:shd w:val="clear" w:color="auto" w:fill="FFFFFF"/>
        </w:rPr>
        <w:t>a apresentação do comprovante do c</w:t>
      </w:r>
      <w:r w:rsidR="00D94621">
        <w:rPr>
          <w:color w:val="212529"/>
          <w:shd w:val="clear" w:color="auto" w:fill="FFFFFF"/>
        </w:rPr>
        <w:t>iclo</w:t>
      </w:r>
      <w:r>
        <w:rPr>
          <w:color w:val="212529"/>
          <w:shd w:val="clear" w:color="auto" w:fill="FFFFFF"/>
        </w:rPr>
        <w:t xml:space="preserve"> vacinal completo</w:t>
      </w:r>
      <w:r w:rsidR="009262B3" w:rsidRPr="009262B3">
        <w:rPr>
          <w:color w:val="212529"/>
          <w:shd w:val="clear" w:color="auto" w:fill="FFFFFF"/>
        </w:rPr>
        <w:t xml:space="preserve"> contra a covid-19 ou do resultado negativo para a covid-19 em teste do tipo RT-PCR, realizado até quarenta e oito horas antes do evento ou da atividade, ou Teste Rápido de Antígeno, realizado até vinte e quatro horas antes do evento ou da ativida</w:t>
      </w:r>
      <w:r>
        <w:rPr>
          <w:color w:val="212529"/>
          <w:shd w:val="clear" w:color="auto" w:fill="FFFFFF"/>
        </w:rPr>
        <w:t>de, inclusive para funcionários. ”</w:t>
      </w:r>
    </w:p>
    <w:p w:rsidR="00DA784B" w:rsidRPr="009262B3" w:rsidRDefault="00DA784B" w:rsidP="009262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09"/>
        <w:jc w:val="both"/>
        <w:rPr>
          <w:color w:val="212529"/>
          <w:shd w:val="clear" w:color="auto" w:fill="FFFFFF"/>
        </w:rPr>
      </w:pPr>
    </w:p>
    <w:p w:rsidR="009262B3" w:rsidRPr="009262B3" w:rsidRDefault="00163329" w:rsidP="009262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Verdana"/>
          <w:color w:val="000000"/>
        </w:rPr>
      </w:pPr>
      <w:r w:rsidRPr="009262B3">
        <w:rPr>
          <w:rFonts w:eastAsia="Verdana"/>
          <w:b/>
        </w:rPr>
        <w:t>Art. 2º</w:t>
      </w:r>
      <w:r w:rsidRPr="009262B3">
        <w:rPr>
          <w:rFonts w:eastAsia="Verdana"/>
        </w:rPr>
        <w:t xml:space="preserve"> </w:t>
      </w:r>
      <w:r w:rsidR="009262B3" w:rsidRPr="009262B3">
        <w:rPr>
          <w:rFonts w:eastAsia="Verdana"/>
        </w:rPr>
        <w:t>O</w:t>
      </w:r>
      <w:r w:rsidR="00DA784B">
        <w:rPr>
          <w:rFonts w:eastAsia="Verdana"/>
        </w:rPr>
        <w:t xml:space="preserve"> </w:t>
      </w:r>
      <w:r w:rsidR="009262B3" w:rsidRPr="009262B3">
        <w:rPr>
          <w:rFonts w:eastAsia="Verdana"/>
        </w:rPr>
        <w:t>Art. 2º do Decreto</w:t>
      </w:r>
      <w:r w:rsidR="009262B3" w:rsidRPr="009262B3">
        <w:rPr>
          <w:rFonts w:eastAsia="Verdana"/>
          <w:b/>
        </w:rPr>
        <w:t xml:space="preserve"> </w:t>
      </w:r>
      <w:r w:rsidR="009262B3" w:rsidRPr="009262B3">
        <w:rPr>
          <w:rFonts w:eastAsia="Verdana"/>
          <w:color w:val="000000"/>
        </w:rPr>
        <w:t xml:space="preserve">12/2022 de 12 de janeiro de 2022 passa a vigorar com </w:t>
      </w:r>
      <w:r w:rsidR="009262B3">
        <w:rPr>
          <w:rFonts w:eastAsia="Verdana"/>
          <w:color w:val="000000"/>
        </w:rPr>
        <w:t xml:space="preserve">a </w:t>
      </w:r>
      <w:r w:rsidR="009262B3" w:rsidRPr="009262B3">
        <w:rPr>
          <w:rFonts w:eastAsia="Verdana"/>
          <w:color w:val="000000"/>
        </w:rPr>
        <w:t>seguinte redação:</w:t>
      </w:r>
    </w:p>
    <w:p w:rsidR="004A452F" w:rsidRPr="00DA784B" w:rsidRDefault="00DA784B" w:rsidP="00DA7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9" w:firstLine="709"/>
        <w:jc w:val="both"/>
        <w:rPr>
          <w:color w:val="212529"/>
          <w:shd w:val="clear" w:color="auto" w:fill="FFFFFF"/>
        </w:rPr>
      </w:pPr>
      <w:r>
        <w:rPr>
          <w:rFonts w:eastAsia="Verdana"/>
          <w:b/>
        </w:rPr>
        <w:t>“</w:t>
      </w:r>
      <w:r w:rsidR="009262B3" w:rsidRPr="009262B3">
        <w:rPr>
          <w:rFonts w:eastAsia="Verdana"/>
          <w:b/>
        </w:rPr>
        <w:t xml:space="preserve"> </w:t>
      </w:r>
      <w:r w:rsidR="00163329" w:rsidRPr="009262B3">
        <w:rPr>
          <w:rFonts w:eastAsia="Verdana"/>
          <w:color w:val="00000A"/>
        </w:rPr>
        <w:t>Os estabelecimentos, inclusive clubes ou casas noturnas, que promoverem eventos deverão exigir, para a entrada de público, a apresentação do comprovante de vacinação contra a Covid-19</w:t>
      </w:r>
      <w:r w:rsidR="009262B3" w:rsidRPr="009262B3">
        <w:rPr>
          <w:rFonts w:eastAsia="Verdana"/>
          <w:color w:val="00000A"/>
        </w:rPr>
        <w:t xml:space="preserve"> ou </w:t>
      </w:r>
      <w:r w:rsidR="009262B3" w:rsidRPr="009262B3">
        <w:rPr>
          <w:color w:val="212529"/>
          <w:shd w:val="clear" w:color="auto" w:fill="FFFFFF"/>
        </w:rPr>
        <w:t xml:space="preserve">do resultado negativo para a covid-19 em teste do tipo RT-PCR, realizado até quarenta e oito horas antes do evento ou da atividade, </w:t>
      </w:r>
      <w:r w:rsidR="009262B3" w:rsidRPr="009262B3">
        <w:rPr>
          <w:color w:val="212529"/>
          <w:shd w:val="clear" w:color="auto" w:fill="FFFFFF"/>
        </w:rPr>
        <w:lastRenderedPageBreak/>
        <w:t>ou Teste Rápido de Antígeno, realizado até vinte e quatro horas antes do evento ou da atividade</w:t>
      </w:r>
      <w:r w:rsidR="00163329" w:rsidRPr="009262B3">
        <w:rPr>
          <w:rFonts w:eastAsia="Verdana"/>
          <w:color w:val="00000A"/>
        </w:rPr>
        <w:t>, independentemente da quantidade de pessoas.</w:t>
      </w:r>
    </w:p>
    <w:p w:rsidR="004A452F" w:rsidRPr="009262B3" w:rsidRDefault="00163329" w:rsidP="009262B3">
      <w:pPr>
        <w:spacing w:line="360" w:lineRule="auto"/>
        <w:ind w:left="1429" w:firstLine="709"/>
        <w:jc w:val="both"/>
        <w:rPr>
          <w:rFonts w:eastAsia="Verdana"/>
        </w:rPr>
      </w:pPr>
      <w:r w:rsidRPr="009262B3">
        <w:rPr>
          <w:rFonts w:eastAsia="Verdana"/>
          <w:b/>
        </w:rPr>
        <w:t>§1º.</w:t>
      </w:r>
      <w:r w:rsidRPr="009262B3">
        <w:rPr>
          <w:rFonts w:eastAsia="Verdana"/>
          <w:color w:val="00000A"/>
        </w:rPr>
        <w:t xml:space="preserve">  A comprovação da condição vacinal poderá ser realizada pelo registro físico, mediante apresentação do comprovante de vacinação, ou de forma digital disponível nas plataformas “C</w:t>
      </w:r>
      <w:r w:rsidR="009262B3" w:rsidRPr="009262B3">
        <w:rPr>
          <w:rFonts w:eastAsia="Verdana"/>
          <w:color w:val="00000A"/>
        </w:rPr>
        <w:t>onecta Monlevade” e “</w:t>
      </w:r>
      <w:proofErr w:type="spellStart"/>
      <w:r w:rsidR="009262B3" w:rsidRPr="009262B3">
        <w:rPr>
          <w:rFonts w:eastAsia="Verdana"/>
          <w:color w:val="00000A"/>
        </w:rPr>
        <w:t>ConectSUS</w:t>
      </w:r>
      <w:proofErr w:type="spellEnd"/>
      <w:r w:rsidR="009262B3" w:rsidRPr="009262B3">
        <w:rPr>
          <w:rFonts w:eastAsia="Verdana"/>
          <w:color w:val="00000A"/>
        </w:rPr>
        <w:t xml:space="preserve">”, sendo </w:t>
      </w:r>
      <w:r w:rsidR="009262B3" w:rsidRPr="009262B3">
        <w:rPr>
          <w:color w:val="212529"/>
          <w:shd w:val="clear" w:color="auto" w:fill="FFFFFF"/>
        </w:rPr>
        <w:t>de responsabilidade dos organizadores testar funcionários e colaboradores por meio do teste do tipo RT-PCR ou do Teste Rápido de Antígeno</w:t>
      </w:r>
      <w:bookmarkStart w:id="0" w:name="_GoBack"/>
      <w:bookmarkEnd w:id="0"/>
      <w:r w:rsidR="00DA784B">
        <w:rPr>
          <w:color w:val="212529"/>
          <w:shd w:val="clear" w:color="auto" w:fill="FFFFFF"/>
        </w:rPr>
        <w:t>. ”</w:t>
      </w:r>
    </w:p>
    <w:p w:rsidR="004A452F" w:rsidRPr="009262B3" w:rsidRDefault="009262B3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firstLine="709"/>
        <w:jc w:val="both"/>
        <w:rPr>
          <w:rFonts w:eastAsia="Verdana"/>
          <w:color w:val="000000"/>
        </w:rPr>
      </w:pPr>
      <w:r w:rsidRPr="009262B3">
        <w:rPr>
          <w:rFonts w:eastAsia="Verdana"/>
          <w:b/>
          <w:color w:val="000000"/>
        </w:rPr>
        <w:t>Art. 3</w:t>
      </w:r>
      <w:r w:rsidR="00163329" w:rsidRPr="009262B3">
        <w:rPr>
          <w:rFonts w:eastAsia="Verdana"/>
          <w:b/>
        </w:rPr>
        <w:t>º</w:t>
      </w:r>
      <w:r w:rsidR="00163329" w:rsidRPr="009262B3">
        <w:rPr>
          <w:rFonts w:eastAsia="Verdana"/>
          <w:b/>
          <w:color w:val="000000"/>
        </w:rPr>
        <w:t xml:space="preserve"> </w:t>
      </w:r>
      <w:r w:rsidR="00163329" w:rsidRPr="009262B3">
        <w:rPr>
          <w:rFonts w:eastAsia="Verdana"/>
        </w:rPr>
        <w:t>Este Decreto entra em vigor na data de sua publicação.</w:t>
      </w:r>
    </w:p>
    <w:p w:rsidR="004A452F" w:rsidRPr="009262B3" w:rsidRDefault="009262B3">
      <w:pPr>
        <w:spacing w:before="280" w:after="280" w:line="360" w:lineRule="auto"/>
        <w:ind w:firstLine="709"/>
        <w:jc w:val="both"/>
        <w:rPr>
          <w:rFonts w:eastAsia="Verdana"/>
        </w:rPr>
      </w:pPr>
      <w:r w:rsidRPr="009262B3">
        <w:rPr>
          <w:rFonts w:eastAsia="Verdana"/>
          <w:b/>
        </w:rPr>
        <w:t>Art. 4</w:t>
      </w:r>
      <w:r w:rsidR="00163329" w:rsidRPr="009262B3">
        <w:rPr>
          <w:rFonts w:eastAsia="Verdana"/>
          <w:b/>
        </w:rPr>
        <w:t>º</w:t>
      </w:r>
      <w:r w:rsidR="00163329" w:rsidRPr="009262B3">
        <w:rPr>
          <w:rFonts w:eastAsia="Verdana"/>
        </w:rPr>
        <w:t xml:space="preserve"> Ficam revogadas as disposições em contrário.</w:t>
      </w:r>
    </w:p>
    <w:p w:rsidR="004A452F" w:rsidRPr="009262B3" w:rsidRDefault="00163329">
      <w:pPr>
        <w:tabs>
          <w:tab w:val="left" w:pos="3402"/>
        </w:tabs>
        <w:spacing w:line="360" w:lineRule="auto"/>
        <w:ind w:firstLine="709"/>
        <w:jc w:val="both"/>
        <w:rPr>
          <w:rFonts w:eastAsia="Verdana"/>
        </w:rPr>
      </w:pPr>
      <w:r w:rsidRPr="009262B3">
        <w:rPr>
          <w:rFonts w:eastAsia="Verdana"/>
        </w:rPr>
        <w:t xml:space="preserve">Prefeitura Municipal de </w:t>
      </w:r>
      <w:r w:rsidRPr="009262B3">
        <w:rPr>
          <w:rFonts w:eastAsia="Verdana"/>
          <w:color w:val="000000"/>
        </w:rPr>
        <w:t>João Monlevade</w:t>
      </w:r>
      <w:r w:rsidRPr="009262B3">
        <w:rPr>
          <w:rFonts w:eastAsia="Verdana"/>
        </w:rPr>
        <w:t xml:space="preserve">, </w:t>
      </w:r>
      <w:r w:rsidR="009262B3" w:rsidRPr="009262B3">
        <w:rPr>
          <w:rFonts w:eastAsia="Verdana"/>
        </w:rPr>
        <w:t>09</w:t>
      </w:r>
      <w:r w:rsidRPr="009262B3">
        <w:rPr>
          <w:rFonts w:eastAsia="Verdana"/>
        </w:rPr>
        <w:t xml:space="preserve"> de janeiro de 2022.</w:t>
      </w:r>
    </w:p>
    <w:p w:rsidR="004A452F" w:rsidRPr="009262B3" w:rsidRDefault="004A452F">
      <w:pPr>
        <w:tabs>
          <w:tab w:val="left" w:pos="3402"/>
        </w:tabs>
        <w:ind w:firstLine="709"/>
        <w:jc w:val="both"/>
        <w:rPr>
          <w:rFonts w:eastAsia="Verdana"/>
        </w:rPr>
      </w:pPr>
    </w:p>
    <w:p w:rsidR="004A452F" w:rsidRPr="009262B3" w:rsidRDefault="004A452F">
      <w:pPr>
        <w:tabs>
          <w:tab w:val="left" w:pos="3402"/>
        </w:tabs>
        <w:spacing w:line="360" w:lineRule="auto"/>
        <w:rPr>
          <w:rFonts w:eastAsia="Verdana"/>
        </w:rPr>
      </w:pPr>
    </w:p>
    <w:p w:rsidR="004A452F" w:rsidRPr="009262B3" w:rsidRDefault="004A452F">
      <w:pPr>
        <w:tabs>
          <w:tab w:val="left" w:pos="3402"/>
        </w:tabs>
        <w:spacing w:line="360" w:lineRule="auto"/>
        <w:rPr>
          <w:rFonts w:eastAsia="Verdana"/>
        </w:rPr>
      </w:pPr>
    </w:p>
    <w:p w:rsidR="004A452F" w:rsidRPr="009262B3" w:rsidRDefault="00163329">
      <w:pPr>
        <w:spacing w:line="360" w:lineRule="auto"/>
        <w:ind w:firstLine="709"/>
        <w:jc w:val="center"/>
        <w:rPr>
          <w:rFonts w:eastAsia="Verdana"/>
        </w:rPr>
      </w:pPr>
      <w:r w:rsidRPr="009262B3">
        <w:rPr>
          <w:rFonts w:eastAsia="Verdana"/>
        </w:rPr>
        <w:t>LAÉRCIO JOSÉ RIBEIRO</w:t>
      </w:r>
    </w:p>
    <w:p w:rsidR="004A452F" w:rsidRPr="009262B3" w:rsidRDefault="00163329">
      <w:pPr>
        <w:spacing w:line="360" w:lineRule="auto"/>
        <w:ind w:firstLine="709"/>
        <w:jc w:val="center"/>
        <w:rPr>
          <w:rFonts w:eastAsia="Verdana"/>
        </w:rPr>
      </w:pPr>
      <w:r w:rsidRPr="009262B3">
        <w:rPr>
          <w:rFonts w:eastAsia="Verdana"/>
        </w:rPr>
        <w:t>Prefeito Municipal</w:t>
      </w:r>
    </w:p>
    <w:p w:rsidR="004A452F" w:rsidRPr="009262B3" w:rsidRDefault="004A452F">
      <w:pPr>
        <w:spacing w:line="360" w:lineRule="auto"/>
        <w:ind w:firstLine="709"/>
        <w:jc w:val="both"/>
        <w:rPr>
          <w:rFonts w:eastAsia="Verdana"/>
        </w:rPr>
      </w:pPr>
    </w:p>
    <w:p w:rsidR="004A452F" w:rsidRPr="009262B3" w:rsidRDefault="00163329">
      <w:pPr>
        <w:spacing w:line="360" w:lineRule="auto"/>
        <w:ind w:firstLine="709"/>
        <w:jc w:val="both"/>
        <w:rPr>
          <w:rFonts w:eastAsia="Verdana"/>
        </w:rPr>
      </w:pPr>
      <w:r w:rsidRPr="009262B3">
        <w:rPr>
          <w:rFonts w:eastAsia="Verdana"/>
        </w:rPr>
        <w:t xml:space="preserve">Registrado e publicado nesta Assessoria de Governo, ao </w:t>
      </w:r>
      <w:r w:rsidR="009262B3" w:rsidRPr="009262B3">
        <w:rPr>
          <w:rFonts w:eastAsia="Verdana"/>
        </w:rPr>
        <w:t>nono</w:t>
      </w:r>
      <w:r w:rsidRPr="009262B3">
        <w:rPr>
          <w:rFonts w:eastAsia="Verdana"/>
        </w:rPr>
        <w:t xml:space="preserve"> dia do mês </w:t>
      </w:r>
      <w:r w:rsidR="009262B3" w:rsidRPr="009262B3">
        <w:rPr>
          <w:rFonts w:eastAsia="Verdana"/>
        </w:rPr>
        <w:t xml:space="preserve">de fevereiro </w:t>
      </w:r>
      <w:r w:rsidRPr="009262B3">
        <w:rPr>
          <w:rFonts w:eastAsia="Verdana"/>
        </w:rPr>
        <w:t>de 2022.</w:t>
      </w:r>
    </w:p>
    <w:p w:rsidR="004A452F" w:rsidRPr="009262B3" w:rsidRDefault="004A452F">
      <w:pPr>
        <w:spacing w:line="360" w:lineRule="auto"/>
        <w:ind w:firstLine="709"/>
        <w:jc w:val="both"/>
        <w:rPr>
          <w:rFonts w:eastAsia="Verdana"/>
        </w:rPr>
      </w:pPr>
    </w:p>
    <w:p w:rsidR="004A452F" w:rsidRPr="009262B3" w:rsidRDefault="004A452F">
      <w:pPr>
        <w:spacing w:line="360" w:lineRule="auto"/>
        <w:ind w:firstLine="709"/>
        <w:jc w:val="both"/>
        <w:rPr>
          <w:rFonts w:eastAsia="Verdana"/>
        </w:rPr>
      </w:pPr>
    </w:p>
    <w:p w:rsidR="004A452F" w:rsidRPr="009262B3" w:rsidRDefault="00163329">
      <w:pPr>
        <w:spacing w:line="360" w:lineRule="auto"/>
        <w:ind w:firstLine="709"/>
        <w:jc w:val="center"/>
        <w:rPr>
          <w:rFonts w:eastAsia="Verdana"/>
        </w:rPr>
      </w:pPr>
      <w:r w:rsidRPr="009262B3">
        <w:rPr>
          <w:rFonts w:eastAsia="Verdana"/>
        </w:rPr>
        <w:t>GENTIL LUCAS MOREIRA BICALHO</w:t>
      </w:r>
    </w:p>
    <w:p w:rsidR="004A452F" w:rsidRPr="009262B3" w:rsidRDefault="00163329">
      <w:pPr>
        <w:spacing w:line="360" w:lineRule="auto"/>
        <w:ind w:firstLine="709"/>
        <w:jc w:val="center"/>
        <w:rPr>
          <w:rFonts w:eastAsia="Verdana"/>
        </w:rPr>
      </w:pPr>
      <w:r w:rsidRPr="009262B3">
        <w:rPr>
          <w:rFonts w:eastAsia="Verdana"/>
        </w:rPr>
        <w:t>Assessor de Governo</w:t>
      </w:r>
    </w:p>
    <w:sectPr w:rsidR="004A452F" w:rsidRPr="009262B3" w:rsidSect="00DA78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00" w:h="17864"/>
      <w:pgMar w:top="1821" w:right="1134" w:bottom="1947" w:left="1700" w:header="567" w:footer="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F6" w:rsidRDefault="003D78F6">
      <w:r>
        <w:separator/>
      </w:r>
    </w:p>
  </w:endnote>
  <w:endnote w:type="continuationSeparator" w:id="0">
    <w:p w:rsidR="003D78F6" w:rsidRDefault="003D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2F" w:rsidRDefault="004A45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4B" w:rsidRPr="00DA784B" w:rsidRDefault="00DA784B" w:rsidP="00DA784B">
    <w:pPr>
      <w:jc w:val="center"/>
    </w:pPr>
    <w:r w:rsidRPr="00DA784B">
      <w:rPr>
        <w:rFonts w:ascii="Calibri" w:hAnsi="Calibri" w:cs="Calibri"/>
        <w:b/>
        <w:bCs/>
        <w:color w:val="000000"/>
        <w:sz w:val="22"/>
        <w:szCs w:val="22"/>
      </w:rPr>
      <w:t>Rua Geraldo Miranda, 337 – Nossa Senhora da Conceição – João Monlevade/ MG – CEP: 35930-027</w:t>
    </w:r>
  </w:p>
  <w:p w:rsidR="00DA784B" w:rsidRPr="00DA784B" w:rsidRDefault="00DA784B" w:rsidP="00DA784B">
    <w:pPr>
      <w:jc w:val="center"/>
    </w:pPr>
    <w:r w:rsidRPr="00DA784B">
      <w:rPr>
        <w:rFonts w:ascii="Calibri" w:hAnsi="Calibri" w:cs="Calibri"/>
        <w:b/>
        <w:bCs/>
        <w:color w:val="000000"/>
        <w:sz w:val="22"/>
        <w:szCs w:val="22"/>
      </w:rPr>
      <w:t>Fone: (31) 3859-2500 – www.pmjm.mg.gov.br</w:t>
    </w:r>
  </w:p>
  <w:p w:rsidR="004A452F" w:rsidRPr="00DA784B" w:rsidRDefault="004A452F" w:rsidP="00DA78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2F" w:rsidRDefault="004A45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F6" w:rsidRDefault="003D78F6">
      <w:r>
        <w:separator/>
      </w:r>
    </w:p>
  </w:footnote>
  <w:footnote w:type="continuationSeparator" w:id="0">
    <w:p w:rsidR="003D78F6" w:rsidRDefault="003D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2F" w:rsidRDefault="004A452F">
    <w:pPr>
      <w:pBdr>
        <w:top w:val="nil"/>
        <w:left w:val="nil"/>
        <w:bottom w:val="nil"/>
        <w:right w:val="nil"/>
        <w:between w:val="nil"/>
      </w:pBdr>
      <w:tabs>
        <w:tab w:val="center" w:pos="4682"/>
        <w:tab w:val="right" w:pos="9365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2F" w:rsidRDefault="00163329">
    <w:pPr>
      <w:pBdr>
        <w:top w:val="nil"/>
        <w:left w:val="nil"/>
        <w:bottom w:val="nil"/>
        <w:right w:val="nil"/>
        <w:between w:val="nil"/>
      </w:pBdr>
      <w:tabs>
        <w:tab w:val="center" w:pos="4682"/>
        <w:tab w:val="right" w:pos="9365"/>
      </w:tabs>
      <w:ind w:firstLine="4820"/>
      <w:jc w:val="both"/>
      <w:rPr>
        <w:i/>
        <w:color w:val="000000"/>
      </w:rPr>
    </w:pPr>
    <w:r>
      <w:rPr>
        <w:i/>
        <w:noProof/>
        <w:color w:val="000000"/>
        <w:sz w:val="20"/>
        <w:szCs w:val="20"/>
      </w:rPr>
      <w:drawing>
        <wp:inline distT="0" distB="0" distL="0" distR="0">
          <wp:extent cx="2876550" cy="723900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65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52F" w:rsidRDefault="004A452F">
    <w:pPr>
      <w:pBdr>
        <w:top w:val="nil"/>
        <w:left w:val="nil"/>
        <w:bottom w:val="nil"/>
        <w:right w:val="nil"/>
        <w:between w:val="nil"/>
      </w:pBdr>
      <w:tabs>
        <w:tab w:val="center" w:pos="4682"/>
        <w:tab w:val="right" w:pos="9365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56A3"/>
    <w:multiLevelType w:val="multilevel"/>
    <w:tmpl w:val="F36AD9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2F"/>
    <w:rsid w:val="00033749"/>
    <w:rsid w:val="00163329"/>
    <w:rsid w:val="001B7DA6"/>
    <w:rsid w:val="003D78F6"/>
    <w:rsid w:val="00416263"/>
    <w:rsid w:val="004A452F"/>
    <w:rsid w:val="00921011"/>
    <w:rsid w:val="009262B3"/>
    <w:rsid w:val="00D94621"/>
    <w:rsid w:val="00D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444BD"/>
  <w15:docId w15:val="{DB8D9D5A-61EC-4315-AF50-77DA7306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C46"/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uppressAutoHyphens/>
      <w:spacing w:before="240" w:after="40"/>
      <w:outlineLvl w:val="3"/>
    </w:pPr>
    <w:rPr>
      <w:rFonts w:ascii="Arial" w:eastAsia="Arial" w:hAnsi="Arial" w:cs="Arial"/>
      <w:b/>
      <w:kern w:val="2"/>
      <w:lang w:eastAsia="zh-CN"/>
    </w:rPr>
  </w:style>
  <w:style w:type="paragraph" w:styleId="Ttulo5">
    <w:name w:val="heading 5"/>
    <w:basedOn w:val="Normal"/>
    <w:next w:val="Normal"/>
    <w:pPr>
      <w:keepNext/>
      <w:keepLines/>
      <w:suppressAutoHyphens/>
      <w:spacing w:before="220" w:after="40"/>
      <w:outlineLvl w:val="4"/>
    </w:pPr>
    <w:rPr>
      <w:rFonts w:ascii="Arial" w:eastAsia="Arial" w:hAnsi="Arial" w:cs="Arial"/>
      <w:b/>
      <w:kern w:val="2"/>
      <w:sz w:val="22"/>
      <w:szCs w:val="22"/>
      <w:lang w:eastAsia="zh-CN"/>
    </w:rPr>
  </w:style>
  <w:style w:type="paragraph" w:styleId="Ttulo6">
    <w:name w:val="heading 6"/>
    <w:basedOn w:val="Normal"/>
    <w:next w:val="Normal"/>
    <w:pPr>
      <w:keepNext/>
      <w:keepLines/>
      <w:suppressAutoHyphens/>
      <w:spacing w:before="200" w:after="40"/>
      <w:outlineLvl w:val="5"/>
    </w:pPr>
    <w:rPr>
      <w:rFonts w:ascii="Arial" w:eastAsia="Arial" w:hAnsi="Arial" w:cs="Arial"/>
      <w:b/>
      <w:kern w:val="2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uppressAutoHyphens/>
      <w:spacing w:before="480" w:after="120"/>
    </w:pPr>
    <w:rPr>
      <w:rFonts w:ascii="Arial" w:eastAsia="Arial" w:hAnsi="Arial" w:cs="Arial"/>
      <w:b/>
      <w:kern w:val="2"/>
      <w:sz w:val="72"/>
      <w:szCs w:val="72"/>
      <w:lang w:eastAsia="zh-C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link w:val="CorpodetextoChar"/>
    <w:pPr>
      <w:suppressAutoHyphens/>
      <w:spacing w:after="140" w:line="288" w:lineRule="auto"/>
    </w:pPr>
    <w:rPr>
      <w:rFonts w:ascii="Arial" w:eastAsia="Arial" w:hAnsi="Arial" w:cs="Arial"/>
      <w:kern w:val="2"/>
      <w:lang w:eastAsia="zh-C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uppressAutoHyphens/>
      <w:spacing w:before="120" w:after="120"/>
    </w:pPr>
    <w:rPr>
      <w:rFonts w:ascii="Arial" w:eastAsia="Arial" w:hAnsi="Arial" w:cs="Mangal"/>
      <w:i/>
      <w:iCs/>
      <w:kern w:val="2"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Arial" w:eastAsia="Arial" w:hAnsi="Arial" w:cs="Mangal"/>
      <w:kern w:val="2"/>
      <w:lang w:eastAsia="zh-CN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styleId="Textodebalo">
    <w:name w:val="Balloon Text"/>
    <w:basedOn w:val="Normal"/>
    <w:pPr>
      <w:suppressAutoHyphens/>
    </w:pPr>
    <w:rPr>
      <w:rFonts w:ascii="Tahoma" w:eastAsia="Arial" w:hAnsi="Tahoma" w:cs="Tahoma"/>
      <w:kern w:val="2"/>
      <w:sz w:val="16"/>
      <w:szCs w:val="16"/>
      <w:lang w:eastAsia="zh-CN"/>
    </w:rPr>
  </w:style>
  <w:style w:type="paragraph" w:styleId="Recuodecorpodetexto">
    <w:name w:val="Body Text Indent"/>
    <w:basedOn w:val="Normal"/>
    <w:pPr>
      <w:suppressAutoHyphens/>
      <w:ind w:left="4536"/>
      <w:jc w:val="both"/>
    </w:pPr>
    <w:rPr>
      <w:rFonts w:ascii="Arial" w:eastAsia="Arial" w:hAnsi="Arial" w:cs="Arial"/>
      <w:b/>
      <w:bCs/>
      <w:kern w:val="2"/>
      <w:lang w:eastAsia="zh-CN"/>
    </w:rPr>
  </w:style>
  <w:style w:type="paragraph" w:customStyle="1" w:styleId="WW-Padro">
    <w:name w:val="WW-Padrão"/>
    <w:pPr>
      <w:suppressAutoHyphens/>
    </w:pPr>
    <w:rPr>
      <w:kern w:val="2"/>
      <w:lang w:eastAsia="zh-CN"/>
    </w:rPr>
  </w:style>
  <w:style w:type="paragraph" w:customStyle="1" w:styleId="Padro">
    <w:name w:val="Padrão"/>
    <w:pPr>
      <w:suppressAutoHyphens/>
    </w:pPr>
    <w:rPr>
      <w:kern w:val="2"/>
      <w:lang w:eastAsia="zh-CN"/>
    </w:rPr>
  </w:style>
  <w:style w:type="paragraph" w:customStyle="1" w:styleId="WW-Padro1">
    <w:name w:val="WW-Padrão1"/>
    <w:pPr>
      <w:suppressAutoHyphens/>
    </w:pPr>
    <w:rPr>
      <w:kern w:val="2"/>
      <w:lang w:eastAsia="zh-CN"/>
    </w:rPr>
  </w:style>
  <w:style w:type="paragraph" w:styleId="Cabealho">
    <w:name w:val="header"/>
    <w:basedOn w:val="Normal"/>
    <w:pPr>
      <w:suppressLineNumbers/>
      <w:tabs>
        <w:tab w:val="center" w:pos="4682"/>
        <w:tab w:val="right" w:pos="9365"/>
      </w:tabs>
      <w:suppressAutoHyphens/>
    </w:pPr>
    <w:rPr>
      <w:rFonts w:ascii="Arial" w:eastAsia="Arial" w:hAnsi="Arial" w:cs="Arial"/>
      <w:kern w:val="2"/>
      <w:lang w:eastAsia="zh-CN"/>
    </w:rPr>
  </w:style>
  <w:style w:type="paragraph" w:customStyle="1" w:styleId="Citaes">
    <w:name w:val="Citações"/>
    <w:basedOn w:val="Normal"/>
    <w:pPr>
      <w:suppressAutoHyphens/>
      <w:spacing w:after="283"/>
      <w:ind w:left="567" w:right="567"/>
    </w:pPr>
    <w:rPr>
      <w:rFonts w:ascii="Arial" w:eastAsia="Arial" w:hAnsi="Arial" w:cs="Arial"/>
      <w:kern w:val="2"/>
      <w:lang w:eastAsia="zh-CN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uppressAutoHyphens/>
    </w:pPr>
    <w:rPr>
      <w:rFonts w:ascii="Arial" w:eastAsia="Arial" w:hAnsi="Arial" w:cs="Arial"/>
      <w:kern w:val="2"/>
      <w:lang w:eastAsia="zh-CN"/>
    </w:rPr>
  </w:style>
  <w:style w:type="paragraph" w:customStyle="1" w:styleId="Recuodecorpodetexto21">
    <w:name w:val="Recuo de corpo de texto 21"/>
    <w:basedOn w:val="Normal"/>
    <w:pPr>
      <w:suppressAutoHyphens/>
      <w:ind w:firstLine="1985"/>
      <w:jc w:val="both"/>
    </w:pPr>
    <w:rPr>
      <w:rFonts w:ascii="Arial" w:eastAsia="Arial" w:hAnsi="Arial" w:cs="Arial"/>
      <w:kern w:val="2"/>
      <w:lang w:eastAsia="zh-CN"/>
    </w:rPr>
  </w:style>
  <w:style w:type="character" w:styleId="Hyperlink">
    <w:name w:val="Hyperlink"/>
    <w:uiPriority w:val="99"/>
    <w:unhideWhenUsed/>
    <w:rsid w:val="00720D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6AB2"/>
    <w:pPr>
      <w:spacing w:before="100" w:beforeAutospacing="1" w:after="100" w:afterAutospacing="1"/>
    </w:pPr>
    <w:rPr>
      <w:rFonts w:eastAsia="Arial"/>
    </w:rPr>
  </w:style>
  <w:style w:type="character" w:customStyle="1" w:styleId="CorpodetextoChar">
    <w:name w:val="Corpo de texto Char"/>
    <w:basedOn w:val="Fontepargpadro"/>
    <w:link w:val="Corpodetexto"/>
    <w:rsid w:val="0022527B"/>
    <w:rPr>
      <w:rFonts w:ascii="Arial" w:hAnsi="Arial" w:cs="Arial"/>
      <w:kern w:val="2"/>
      <w:sz w:val="24"/>
      <w:lang w:eastAsia="zh-CN"/>
    </w:rPr>
  </w:style>
  <w:style w:type="paragraph" w:styleId="PargrafodaLista">
    <w:name w:val="List Paragraph"/>
    <w:basedOn w:val="Normal"/>
    <w:uiPriority w:val="34"/>
    <w:qFormat/>
    <w:rsid w:val="00284EB1"/>
    <w:pPr>
      <w:suppressAutoHyphens/>
      <w:ind w:left="720"/>
      <w:contextualSpacing/>
    </w:pPr>
    <w:rPr>
      <w:rFonts w:ascii="Arial" w:eastAsia="Arial" w:hAnsi="Arial" w:cs="Arial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refeitura.sp.gov.br/leis/decreto-60396-de-23-de-julho-de-202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ED7LCG4V18HDAq5+4jyfABTZQ==">AMUW2mVJVqxKhL4vxUR94meTbnBtgQ08hv9/MToiq/lu19EsOS6W8ziC7h4JFVgA3qqAHo7qzJp/GQqFPdwppjZMsQFGiWBzzd26nkkhUGvQnkoUfRl0YV0=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PMJM</cp:lastModifiedBy>
  <cp:revision>3</cp:revision>
  <cp:lastPrinted>2022-02-09T17:36:00Z</cp:lastPrinted>
  <dcterms:created xsi:type="dcterms:W3CDTF">2022-02-18T12:03:00Z</dcterms:created>
  <dcterms:modified xsi:type="dcterms:W3CDTF">2022-02-18T12:09:00Z</dcterms:modified>
</cp:coreProperties>
</file>